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B909" w14:textId="18D298D0" w:rsidR="00A16AE4" w:rsidRPr="00142E26" w:rsidRDefault="00A16AE4" w:rsidP="00C03214">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bookmarkStart w:id="0" w:name="_Hlk90222956"/>
      <w:bookmarkStart w:id="1" w:name="_Hlk90207554"/>
      <w:r>
        <w:rPr>
          <w:rFonts w:ascii="Arial" w:eastAsia="Arial" w:hAnsi="Arial" w:cs="Arial"/>
          <w:b/>
          <w:color w:val="000000"/>
          <w:sz w:val="20"/>
          <w:szCs w:val="20"/>
          <w:u w:val="single"/>
        </w:rPr>
        <w:t>‘</w:t>
      </w:r>
      <w:r w:rsidR="00323633" w:rsidRPr="00323633">
        <w:rPr>
          <w:rFonts w:ascii="Arial" w:eastAsia="Arial" w:hAnsi="Arial" w:cs="Arial"/>
          <w:b/>
          <w:color w:val="000000"/>
          <w:sz w:val="20"/>
          <w:szCs w:val="20"/>
          <w:u w:val="single"/>
        </w:rPr>
        <w:t>2024, el año de la adaptación</w:t>
      </w:r>
      <w:r>
        <w:rPr>
          <w:rFonts w:ascii="Arial" w:eastAsia="Arial" w:hAnsi="Arial" w:cs="Arial"/>
          <w:b/>
          <w:color w:val="000000"/>
          <w:sz w:val="20"/>
          <w:szCs w:val="20"/>
          <w:u w:val="single"/>
        </w:rPr>
        <w:t xml:space="preserve">’: </w:t>
      </w:r>
      <w:r w:rsidRPr="009219F3">
        <w:rPr>
          <w:rFonts w:ascii="Arial" w:eastAsia="Arial" w:hAnsi="Arial" w:cs="Arial"/>
          <w:b/>
          <w:color w:val="000000"/>
          <w:sz w:val="20"/>
          <w:szCs w:val="20"/>
          <w:u w:val="single"/>
        </w:rPr>
        <w:t xml:space="preserve">Informe anual de </w:t>
      </w:r>
      <w:r>
        <w:rPr>
          <w:rFonts w:ascii="Arial" w:eastAsia="Arial" w:hAnsi="Arial" w:cs="Arial"/>
          <w:b/>
          <w:color w:val="000000"/>
          <w:sz w:val="20"/>
          <w:szCs w:val="20"/>
          <w:u w:val="single"/>
        </w:rPr>
        <w:t xml:space="preserve">tendencias </w:t>
      </w:r>
      <w:r w:rsidR="008D44C0">
        <w:rPr>
          <w:rFonts w:ascii="Arial" w:eastAsia="Arial" w:hAnsi="Arial" w:cs="Arial"/>
          <w:b/>
          <w:color w:val="000000"/>
          <w:sz w:val="20"/>
          <w:szCs w:val="20"/>
          <w:u w:val="single"/>
        </w:rPr>
        <w:t xml:space="preserve">del </w:t>
      </w:r>
      <w:r>
        <w:rPr>
          <w:rFonts w:ascii="Arial" w:eastAsia="Arial" w:hAnsi="Arial" w:cs="Arial"/>
          <w:b/>
          <w:color w:val="000000"/>
          <w:sz w:val="20"/>
          <w:szCs w:val="20"/>
          <w:u w:val="single"/>
        </w:rPr>
        <w:t xml:space="preserve">mundo del </w:t>
      </w:r>
      <w:r w:rsidRPr="009219F3">
        <w:rPr>
          <w:rFonts w:ascii="Arial" w:eastAsia="Arial" w:hAnsi="Arial" w:cs="Arial"/>
          <w:b/>
          <w:color w:val="000000"/>
          <w:sz w:val="20"/>
          <w:szCs w:val="20"/>
          <w:u w:val="single"/>
        </w:rPr>
        <w:t>empleo</w:t>
      </w:r>
    </w:p>
    <w:p w14:paraId="72AB5DD7" w14:textId="77777777" w:rsidR="00A16AE4" w:rsidRPr="00142E26" w:rsidRDefault="00A16AE4" w:rsidP="00C03214">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333BFD90" w14:textId="038D46BC" w:rsidR="00A16AE4" w:rsidRPr="00142E26" w:rsidRDefault="00A16AE4" w:rsidP="00C03214">
      <w:pPr>
        <w:pStyle w:val="Prrafodelista"/>
        <w:spacing w:before="120" w:line="288" w:lineRule="auto"/>
        <w:ind w:left="0" w:right="-1"/>
        <w:contextualSpacing w:val="0"/>
        <w:jc w:val="center"/>
        <w:rPr>
          <w:rFonts w:ascii="Arial" w:eastAsia="Arial" w:hAnsi="Arial" w:cs="Arial"/>
          <w:b/>
          <w:bCs/>
          <w:sz w:val="36"/>
          <w:szCs w:val="36"/>
        </w:rPr>
      </w:pPr>
      <w:r w:rsidRPr="00CF26C2">
        <w:rPr>
          <w:rFonts w:ascii="Arial" w:eastAsia="Arial" w:hAnsi="Arial" w:cs="Arial"/>
          <w:b/>
          <w:bCs/>
          <w:sz w:val="36"/>
          <w:szCs w:val="36"/>
        </w:rPr>
        <w:t>IA generativa, la transformación verde</w:t>
      </w:r>
      <w:r w:rsidR="00794A97">
        <w:rPr>
          <w:rFonts w:ascii="Arial" w:eastAsia="Arial" w:hAnsi="Arial" w:cs="Arial"/>
          <w:b/>
          <w:bCs/>
          <w:sz w:val="36"/>
          <w:szCs w:val="36"/>
        </w:rPr>
        <w:t xml:space="preserve"> o los cambios en las cadenas de suministro</w:t>
      </w:r>
      <w:r w:rsidR="00655C25">
        <w:rPr>
          <w:rFonts w:ascii="Arial" w:eastAsia="Arial" w:hAnsi="Arial" w:cs="Arial"/>
          <w:b/>
          <w:bCs/>
          <w:sz w:val="36"/>
          <w:szCs w:val="36"/>
        </w:rPr>
        <w:t>,</w:t>
      </w:r>
      <w:r w:rsidR="00794A97">
        <w:rPr>
          <w:rFonts w:ascii="Arial" w:eastAsia="Arial" w:hAnsi="Arial" w:cs="Arial"/>
          <w:b/>
          <w:bCs/>
          <w:sz w:val="36"/>
          <w:szCs w:val="36"/>
        </w:rPr>
        <w:t xml:space="preserve"> entre </w:t>
      </w:r>
      <w:r>
        <w:rPr>
          <w:rFonts w:ascii="Arial" w:eastAsia="Arial" w:hAnsi="Arial" w:cs="Arial"/>
          <w:b/>
          <w:bCs/>
          <w:sz w:val="36"/>
          <w:szCs w:val="36"/>
        </w:rPr>
        <w:t>las tendencias que marcan el empleo en 2024</w:t>
      </w:r>
    </w:p>
    <w:p w14:paraId="1F7B4BEA" w14:textId="77777777" w:rsidR="00A16AE4" w:rsidRPr="00142E26" w:rsidRDefault="00A16AE4" w:rsidP="00C03214">
      <w:pPr>
        <w:pStyle w:val="Prrafodelista"/>
        <w:spacing w:before="120" w:line="288" w:lineRule="auto"/>
        <w:ind w:left="0" w:right="-1"/>
        <w:contextualSpacing w:val="0"/>
        <w:jc w:val="center"/>
        <w:rPr>
          <w:rFonts w:ascii="Arial" w:eastAsia="Arial" w:hAnsi="Arial" w:cs="Arial"/>
          <w:u w:val="single"/>
        </w:rPr>
      </w:pPr>
    </w:p>
    <w:p w14:paraId="48DAB9E5" w14:textId="0F44C707" w:rsidR="00A16AE4" w:rsidRPr="0026648B" w:rsidRDefault="00A16AE4" w:rsidP="00C03214">
      <w:pPr>
        <w:pStyle w:val="Prrafodelista"/>
        <w:numPr>
          <w:ilvl w:val="0"/>
          <w:numId w:val="7"/>
        </w:numPr>
        <w:spacing w:before="120" w:line="288" w:lineRule="auto"/>
        <w:contextualSpacing w:val="0"/>
        <w:jc w:val="both"/>
        <w:rPr>
          <w:rFonts w:ascii="Arial" w:eastAsia="Arial" w:hAnsi="Arial" w:cs="Arial"/>
          <w:b/>
          <w:bCs/>
          <w:color w:val="000000" w:themeColor="text1"/>
          <w:sz w:val="23"/>
          <w:szCs w:val="23"/>
        </w:rPr>
      </w:pPr>
      <w:r>
        <w:rPr>
          <w:rFonts w:ascii="Arial" w:eastAsia="Arial" w:hAnsi="Arial" w:cs="Arial"/>
          <w:b/>
          <w:bCs/>
          <w:color w:val="000000" w:themeColor="text1"/>
          <w:sz w:val="23"/>
          <w:szCs w:val="23"/>
        </w:rPr>
        <w:t xml:space="preserve">ManpowerGroup </w:t>
      </w:r>
      <w:r w:rsidRPr="0026648B">
        <w:rPr>
          <w:rFonts w:ascii="Arial" w:eastAsia="Arial" w:hAnsi="Arial" w:cs="Arial"/>
          <w:b/>
          <w:bCs/>
          <w:color w:val="000000" w:themeColor="text1"/>
          <w:sz w:val="23"/>
          <w:szCs w:val="23"/>
        </w:rPr>
        <w:t xml:space="preserve">identifica 14 tendencias </w:t>
      </w:r>
      <w:r>
        <w:rPr>
          <w:rFonts w:ascii="Arial" w:eastAsia="Arial" w:hAnsi="Arial" w:cs="Arial"/>
          <w:b/>
          <w:bCs/>
          <w:color w:val="000000" w:themeColor="text1"/>
          <w:sz w:val="23"/>
          <w:szCs w:val="23"/>
        </w:rPr>
        <w:t xml:space="preserve">que </w:t>
      </w:r>
      <w:r w:rsidR="00794A97">
        <w:rPr>
          <w:rFonts w:ascii="Arial" w:eastAsia="Arial" w:hAnsi="Arial" w:cs="Arial"/>
          <w:b/>
          <w:bCs/>
          <w:color w:val="000000" w:themeColor="text1"/>
          <w:sz w:val="23"/>
          <w:szCs w:val="23"/>
        </w:rPr>
        <w:t xml:space="preserve">ya están afectando a </w:t>
      </w:r>
      <w:r>
        <w:rPr>
          <w:rFonts w:ascii="Arial" w:eastAsia="Arial" w:hAnsi="Arial" w:cs="Arial"/>
          <w:b/>
          <w:bCs/>
          <w:color w:val="000000" w:themeColor="text1"/>
          <w:sz w:val="23"/>
          <w:szCs w:val="23"/>
        </w:rPr>
        <w:t xml:space="preserve">empresas y </w:t>
      </w:r>
      <w:r w:rsidR="00794A97">
        <w:rPr>
          <w:rFonts w:ascii="Arial" w:eastAsia="Arial" w:hAnsi="Arial" w:cs="Arial"/>
          <w:b/>
          <w:bCs/>
          <w:color w:val="000000" w:themeColor="text1"/>
          <w:sz w:val="23"/>
          <w:szCs w:val="23"/>
        </w:rPr>
        <w:t xml:space="preserve">profesionales y que surgen de </w:t>
      </w:r>
      <w:r w:rsidRPr="0026648B">
        <w:rPr>
          <w:rFonts w:ascii="Arial" w:eastAsia="Arial" w:hAnsi="Arial" w:cs="Arial"/>
          <w:b/>
          <w:bCs/>
          <w:color w:val="000000" w:themeColor="text1"/>
          <w:sz w:val="23"/>
          <w:szCs w:val="23"/>
        </w:rPr>
        <w:t xml:space="preserve">los cambios demográficos, los avances tecnológicos, los motores de competitividad y las </w:t>
      </w:r>
      <w:r>
        <w:rPr>
          <w:rFonts w:ascii="Arial" w:eastAsia="Arial" w:hAnsi="Arial" w:cs="Arial"/>
          <w:b/>
          <w:bCs/>
          <w:color w:val="000000" w:themeColor="text1"/>
          <w:sz w:val="23"/>
          <w:szCs w:val="23"/>
        </w:rPr>
        <w:t>p</w:t>
      </w:r>
      <w:r w:rsidRPr="0026648B">
        <w:rPr>
          <w:rFonts w:ascii="Arial" w:eastAsia="Arial" w:hAnsi="Arial" w:cs="Arial"/>
          <w:b/>
          <w:bCs/>
          <w:color w:val="000000" w:themeColor="text1"/>
          <w:sz w:val="23"/>
          <w:szCs w:val="23"/>
        </w:rPr>
        <w:t>referencias individuales</w:t>
      </w:r>
      <w:r>
        <w:rPr>
          <w:rFonts w:ascii="Arial" w:eastAsia="Arial" w:hAnsi="Arial" w:cs="Arial"/>
          <w:b/>
          <w:bCs/>
          <w:color w:val="000000" w:themeColor="text1"/>
          <w:sz w:val="23"/>
          <w:szCs w:val="23"/>
        </w:rPr>
        <w:t>.</w:t>
      </w:r>
    </w:p>
    <w:p w14:paraId="0B2EE53F" w14:textId="77777777" w:rsidR="00A470A7" w:rsidRDefault="00A470A7" w:rsidP="00C03214">
      <w:pPr>
        <w:pStyle w:val="NormalWeb"/>
        <w:shd w:val="clear" w:color="auto" w:fill="FFFFFF"/>
        <w:spacing w:before="120" w:beforeAutospacing="0" w:after="0" w:afterAutospacing="0" w:line="288" w:lineRule="auto"/>
        <w:jc w:val="both"/>
        <w:rPr>
          <w:rFonts w:ascii="Arial" w:eastAsia="Arial" w:hAnsi="Arial" w:cs="Arial"/>
          <w:b/>
          <w:sz w:val="22"/>
          <w:szCs w:val="22"/>
        </w:rPr>
      </w:pPr>
    </w:p>
    <w:p w14:paraId="0B45D648" w14:textId="3CB5656F" w:rsidR="00A16AE4" w:rsidRPr="00A470A7" w:rsidRDefault="00A16AE4" w:rsidP="00C03214">
      <w:pPr>
        <w:pStyle w:val="NormalWeb"/>
        <w:shd w:val="clear" w:color="auto" w:fill="FFFFFF"/>
        <w:spacing w:before="120" w:beforeAutospacing="0" w:after="0" w:afterAutospacing="0" w:line="288" w:lineRule="auto"/>
        <w:jc w:val="both"/>
        <w:rPr>
          <w:rFonts w:ascii="Arial" w:eastAsia="Arial" w:hAnsi="Arial" w:cs="Arial"/>
          <w:bCs/>
          <w:sz w:val="22"/>
          <w:szCs w:val="22"/>
        </w:rPr>
      </w:pPr>
      <w:r w:rsidRPr="00A470A7">
        <w:rPr>
          <w:rFonts w:ascii="Arial" w:eastAsia="Arial" w:hAnsi="Arial" w:cs="Arial"/>
          <w:b/>
          <w:sz w:val="22"/>
          <w:szCs w:val="22"/>
        </w:rPr>
        <w:t>Madrid</w:t>
      </w:r>
      <w:r w:rsidRPr="00662ABF">
        <w:rPr>
          <w:rFonts w:ascii="Arial" w:eastAsia="Arial" w:hAnsi="Arial" w:cs="Arial"/>
          <w:b/>
          <w:sz w:val="22"/>
          <w:szCs w:val="22"/>
        </w:rPr>
        <w:t xml:space="preserve">, </w:t>
      </w:r>
      <w:r w:rsidR="00794A97" w:rsidRPr="00662ABF">
        <w:rPr>
          <w:rFonts w:ascii="Arial" w:eastAsia="Arial" w:hAnsi="Arial" w:cs="Arial"/>
          <w:b/>
          <w:sz w:val="22"/>
          <w:szCs w:val="22"/>
        </w:rPr>
        <w:t>1</w:t>
      </w:r>
      <w:r w:rsidRPr="00662ABF">
        <w:rPr>
          <w:rFonts w:ascii="Arial" w:eastAsia="Arial" w:hAnsi="Arial" w:cs="Arial"/>
          <w:b/>
          <w:sz w:val="22"/>
          <w:szCs w:val="22"/>
        </w:rPr>
        <w:t xml:space="preserve"> de </w:t>
      </w:r>
      <w:r w:rsidR="00323633" w:rsidRPr="00662ABF">
        <w:rPr>
          <w:rFonts w:ascii="Arial" w:eastAsia="Arial" w:hAnsi="Arial" w:cs="Arial"/>
          <w:b/>
          <w:sz w:val="22"/>
          <w:szCs w:val="22"/>
        </w:rPr>
        <w:t xml:space="preserve">febrero </w:t>
      </w:r>
      <w:r w:rsidRPr="00A470A7">
        <w:rPr>
          <w:rFonts w:ascii="Arial" w:eastAsia="Arial" w:hAnsi="Arial" w:cs="Arial"/>
          <w:b/>
          <w:sz w:val="22"/>
          <w:szCs w:val="22"/>
        </w:rPr>
        <w:t>de 2024.-</w:t>
      </w:r>
      <w:bookmarkStart w:id="2" w:name="_Hlk130837822"/>
      <w:bookmarkStart w:id="3" w:name="_Hlk113557102"/>
      <w:bookmarkStart w:id="4" w:name="_Hlk90223537"/>
      <w:bookmarkStart w:id="5" w:name="_Hlk89449303"/>
      <w:bookmarkStart w:id="6" w:name="_Hlk89449332"/>
      <w:r w:rsidRPr="00A470A7">
        <w:rPr>
          <w:rFonts w:ascii="Arial" w:eastAsia="Arial" w:hAnsi="Arial" w:cs="Arial"/>
          <w:b/>
          <w:sz w:val="22"/>
          <w:szCs w:val="22"/>
        </w:rPr>
        <w:t xml:space="preserve"> </w:t>
      </w:r>
      <w:r w:rsidRPr="00A470A7">
        <w:rPr>
          <w:rFonts w:ascii="Arial" w:eastAsia="Arial" w:hAnsi="Arial" w:cs="Arial"/>
          <w:bCs/>
          <w:sz w:val="22"/>
          <w:szCs w:val="22"/>
        </w:rPr>
        <w:t xml:space="preserve">Las empresas que quieran atraer y </w:t>
      </w:r>
      <w:r w:rsidR="008D44C0">
        <w:rPr>
          <w:rFonts w:ascii="Arial" w:eastAsia="Arial" w:hAnsi="Arial" w:cs="Arial"/>
          <w:bCs/>
          <w:sz w:val="22"/>
          <w:szCs w:val="22"/>
        </w:rPr>
        <w:t xml:space="preserve">fidelizar al mejor </w:t>
      </w:r>
      <w:r w:rsidRPr="00A470A7">
        <w:rPr>
          <w:rFonts w:ascii="Arial" w:eastAsia="Arial" w:hAnsi="Arial" w:cs="Arial"/>
          <w:bCs/>
          <w:sz w:val="22"/>
          <w:szCs w:val="22"/>
        </w:rPr>
        <w:t xml:space="preserve">talento deben estar preparadas para </w:t>
      </w:r>
      <w:r w:rsidR="00C03214" w:rsidRPr="00A470A7">
        <w:rPr>
          <w:rFonts w:ascii="Arial" w:eastAsia="Arial" w:hAnsi="Arial" w:cs="Arial"/>
          <w:bCs/>
          <w:sz w:val="22"/>
          <w:szCs w:val="22"/>
        </w:rPr>
        <w:t xml:space="preserve">dar respuesta </w:t>
      </w:r>
      <w:r w:rsidRPr="00A470A7">
        <w:rPr>
          <w:rFonts w:ascii="Arial" w:eastAsia="Arial" w:hAnsi="Arial" w:cs="Arial"/>
          <w:bCs/>
          <w:sz w:val="22"/>
          <w:szCs w:val="22"/>
        </w:rPr>
        <w:t xml:space="preserve">a </w:t>
      </w:r>
      <w:r w:rsidR="008D44C0">
        <w:rPr>
          <w:rFonts w:ascii="Arial" w:eastAsia="Arial" w:hAnsi="Arial" w:cs="Arial"/>
          <w:bCs/>
          <w:sz w:val="22"/>
          <w:szCs w:val="22"/>
        </w:rPr>
        <w:t xml:space="preserve">un mundo en constate </w:t>
      </w:r>
      <w:r w:rsidRPr="00A470A7">
        <w:rPr>
          <w:rFonts w:ascii="Arial" w:eastAsia="Arial" w:hAnsi="Arial" w:cs="Arial"/>
          <w:bCs/>
          <w:sz w:val="22"/>
          <w:szCs w:val="22"/>
        </w:rPr>
        <w:t>cambio. Esa capacidad de adaptació</w:t>
      </w:r>
      <w:r w:rsidR="008D44C0">
        <w:rPr>
          <w:rFonts w:ascii="Arial" w:eastAsia="Arial" w:hAnsi="Arial" w:cs="Arial"/>
          <w:bCs/>
          <w:sz w:val="22"/>
          <w:szCs w:val="22"/>
        </w:rPr>
        <w:t>n</w:t>
      </w:r>
      <w:r w:rsidRPr="00A470A7">
        <w:rPr>
          <w:rFonts w:ascii="Arial" w:eastAsia="Arial" w:hAnsi="Arial" w:cs="Arial"/>
          <w:bCs/>
          <w:sz w:val="22"/>
          <w:szCs w:val="22"/>
        </w:rPr>
        <w:t xml:space="preserve"> </w:t>
      </w:r>
      <w:r w:rsidRPr="00A470A7">
        <w:rPr>
          <w:rFonts w:ascii="Arial" w:eastAsia="Arial" w:hAnsi="Arial" w:cs="Arial"/>
          <w:sz w:val="22"/>
          <w:szCs w:val="22"/>
        </w:rPr>
        <w:t xml:space="preserve">se ha convertido en </w:t>
      </w:r>
      <w:r w:rsidR="008D44C0">
        <w:rPr>
          <w:rFonts w:ascii="Arial" w:eastAsia="Arial" w:hAnsi="Arial" w:cs="Arial"/>
          <w:sz w:val="22"/>
          <w:szCs w:val="22"/>
        </w:rPr>
        <w:t xml:space="preserve">uno de los </w:t>
      </w:r>
      <w:r w:rsidR="008D44C0" w:rsidRPr="00A470A7">
        <w:rPr>
          <w:rFonts w:ascii="Arial" w:eastAsia="Arial" w:hAnsi="Arial" w:cs="Arial"/>
          <w:sz w:val="22"/>
          <w:szCs w:val="22"/>
        </w:rPr>
        <w:t>activo</w:t>
      </w:r>
      <w:r w:rsidR="008D44C0">
        <w:rPr>
          <w:rFonts w:ascii="Arial" w:eastAsia="Arial" w:hAnsi="Arial" w:cs="Arial"/>
          <w:sz w:val="22"/>
          <w:szCs w:val="22"/>
        </w:rPr>
        <w:t>s</w:t>
      </w:r>
      <w:r w:rsidR="008D44C0" w:rsidRPr="00A470A7">
        <w:rPr>
          <w:rFonts w:ascii="Arial" w:eastAsia="Arial" w:hAnsi="Arial" w:cs="Arial"/>
          <w:sz w:val="22"/>
          <w:szCs w:val="22"/>
        </w:rPr>
        <w:t xml:space="preserve"> más valioso</w:t>
      </w:r>
      <w:r w:rsidR="008D44C0">
        <w:rPr>
          <w:rFonts w:ascii="Arial" w:eastAsia="Arial" w:hAnsi="Arial" w:cs="Arial"/>
          <w:sz w:val="22"/>
          <w:szCs w:val="22"/>
        </w:rPr>
        <w:t xml:space="preserve">s tanto para </w:t>
      </w:r>
      <w:r w:rsidRPr="00A470A7">
        <w:rPr>
          <w:rFonts w:ascii="Arial" w:eastAsia="Arial" w:hAnsi="Arial" w:cs="Arial"/>
          <w:sz w:val="22"/>
          <w:szCs w:val="22"/>
        </w:rPr>
        <w:t>empresas</w:t>
      </w:r>
      <w:r w:rsidR="008D44C0">
        <w:rPr>
          <w:rFonts w:ascii="Arial" w:eastAsia="Arial" w:hAnsi="Arial" w:cs="Arial"/>
          <w:sz w:val="22"/>
          <w:szCs w:val="22"/>
        </w:rPr>
        <w:t xml:space="preserve">, como para </w:t>
      </w:r>
      <w:r w:rsidR="009333A0">
        <w:rPr>
          <w:rFonts w:ascii="Arial" w:eastAsia="Arial" w:hAnsi="Arial" w:cs="Arial"/>
          <w:sz w:val="22"/>
          <w:szCs w:val="22"/>
        </w:rPr>
        <w:t>profesionales</w:t>
      </w:r>
      <w:r w:rsidR="008D44C0">
        <w:rPr>
          <w:rFonts w:ascii="Arial" w:eastAsia="Arial" w:hAnsi="Arial" w:cs="Arial"/>
          <w:sz w:val="22"/>
          <w:szCs w:val="22"/>
        </w:rPr>
        <w:t xml:space="preserve"> y</w:t>
      </w:r>
      <w:r w:rsidRPr="00A470A7">
        <w:rPr>
          <w:rFonts w:ascii="Arial" w:eastAsia="Arial" w:hAnsi="Arial" w:cs="Arial"/>
          <w:bCs/>
          <w:sz w:val="22"/>
          <w:szCs w:val="22"/>
        </w:rPr>
        <w:t xml:space="preserve"> es, </w:t>
      </w:r>
      <w:r w:rsidR="008D44C0">
        <w:rPr>
          <w:rFonts w:ascii="Arial" w:eastAsia="Arial" w:hAnsi="Arial" w:cs="Arial"/>
          <w:bCs/>
          <w:sz w:val="22"/>
          <w:szCs w:val="22"/>
        </w:rPr>
        <w:t>además</w:t>
      </w:r>
      <w:r w:rsidRPr="00A470A7">
        <w:rPr>
          <w:rFonts w:ascii="Arial" w:eastAsia="Arial" w:hAnsi="Arial" w:cs="Arial"/>
          <w:bCs/>
          <w:sz w:val="22"/>
          <w:szCs w:val="22"/>
        </w:rPr>
        <w:t xml:space="preserve">, </w:t>
      </w:r>
      <w:r w:rsidR="00C03214" w:rsidRPr="00A470A7">
        <w:rPr>
          <w:rFonts w:ascii="Arial" w:eastAsia="Arial" w:hAnsi="Arial" w:cs="Arial"/>
          <w:bCs/>
          <w:sz w:val="22"/>
          <w:szCs w:val="22"/>
        </w:rPr>
        <w:t xml:space="preserve">el hilo conductor </w:t>
      </w:r>
      <w:r w:rsidRPr="00A470A7">
        <w:rPr>
          <w:rFonts w:ascii="Arial" w:eastAsia="Arial" w:hAnsi="Arial" w:cs="Arial"/>
          <w:bCs/>
          <w:sz w:val="22"/>
          <w:szCs w:val="22"/>
        </w:rPr>
        <w:t>de</w:t>
      </w:r>
      <w:r w:rsidR="009333A0">
        <w:rPr>
          <w:rFonts w:ascii="Arial" w:eastAsia="Arial" w:hAnsi="Arial" w:cs="Arial"/>
          <w:bCs/>
          <w:sz w:val="22"/>
          <w:szCs w:val="22"/>
        </w:rPr>
        <w:t xml:space="preserve"> la última edición del </w:t>
      </w:r>
      <w:r w:rsidRPr="00A470A7">
        <w:rPr>
          <w:rFonts w:ascii="Arial" w:eastAsia="Arial" w:hAnsi="Arial" w:cs="Arial"/>
          <w:bCs/>
          <w:sz w:val="22"/>
          <w:szCs w:val="22"/>
        </w:rPr>
        <w:t xml:space="preserve">informe que ManpowerGroup elabora </w:t>
      </w:r>
      <w:r w:rsidR="00C03214" w:rsidRPr="00A470A7">
        <w:rPr>
          <w:rFonts w:ascii="Arial" w:eastAsia="Arial" w:hAnsi="Arial" w:cs="Arial"/>
          <w:bCs/>
          <w:sz w:val="22"/>
          <w:szCs w:val="22"/>
        </w:rPr>
        <w:t xml:space="preserve">anualmente </w:t>
      </w:r>
      <w:r w:rsidRPr="00A470A7">
        <w:rPr>
          <w:rFonts w:ascii="Arial" w:eastAsia="Arial" w:hAnsi="Arial" w:cs="Arial"/>
          <w:bCs/>
          <w:sz w:val="22"/>
          <w:szCs w:val="22"/>
        </w:rPr>
        <w:t xml:space="preserve">sobre las tendencias </w:t>
      </w:r>
      <w:r w:rsidR="00C03214" w:rsidRPr="00A470A7">
        <w:rPr>
          <w:rFonts w:ascii="Arial" w:eastAsia="Arial" w:hAnsi="Arial" w:cs="Arial"/>
          <w:bCs/>
          <w:sz w:val="22"/>
          <w:szCs w:val="22"/>
        </w:rPr>
        <w:t xml:space="preserve">que afectan al </w:t>
      </w:r>
      <w:r w:rsidR="009333A0">
        <w:rPr>
          <w:rFonts w:ascii="Arial" w:eastAsia="Arial" w:hAnsi="Arial" w:cs="Arial"/>
          <w:bCs/>
          <w:sz w:val="22"/>
          <w:szCs w:val="22"/>
        </w:rPr>
        <w:t xml:space="preserve">mundo del </w:t>
      </w:r>
      <w:r w:rsidRPr="00A470A7">
        <w:rPr>
          <w:rFonts w:ascii="Arial" w:eastAsia="Arial" w:hAnsi="Arial" w:cs="Arial"/>
          <w:bCs/>
          <w:sz w:val="22"/>
          <w:szCs w:val="22"/>
        </w:rPr>
        <w:t>empleo. Bajo el título: “</w:t>
      </w:r>
      <w:bookmarkStart w:id="7" w:name="_Hlk157526981"/>
      <w:r w:rsidR="00323633" w:rsidRPr="00323633">
        <w:rPr>
          <w:rFonts w:ascii="Arial" w:eastAsia="Arial" w:hAnsi="Arial" w:cs="Arial"/>
          <w:bCs/>
          <w:sz w:val="22"/>
          <w:szCs w:val="22"/>
        </w:rPr>
        <w:t>2024, el año de la adaptación</w:t>
      </w:r>
      <w:bookmarkEnd w:id="7"/>
      <w:r w:rsidR="00323633" w:rsidRPr="00323633">
        <w:rPr>
          <w:rFonts w:ascii="Arial" w:eastAsia="Arial" w:hAnsi="Arial" w:cs="Arial"/>
          <w:bCs/>
          <w:sz w:val="22"/>
          <w:szCs w:val="22"/>
        </w:rPr>
        <w:t>:</w:t>
      </w:r>
      <w:r w:rsidRPr="00A470A7">
        <w:rPr>
          <w:rFonts w:ascii="Arial" w:eastAsia="Arial" w:hAnsi="Arial" w:cs="Arial"/>
          <w:bCs/>
          <w:sz w:val="22"/>
          <w:szCs w:val="22"/>
        </w:rPr>
        <w:t xml:space="preserve"> </w:t>
      </w:r>
      <w:r w:rsidR="00323633">
        <w:rPr>
          <w:rFonts w:ascii="Arial" w:eastAsia="Arial" w:hAnsi="Arial" w:cs="Arial"/>
          <w:bCs/>
          <w:sz w:val="22"/>
          <w:szCs w:val="22"/>
        </w:rPr>
        <w:t>h</w:t>
      </w:r>
      <w:r w:rsidRPr="00A470A7">
        <w:rPr>
          <w:rFonts w:ascii="Arial" w:eastAsia="Arial" w:hAnsi="Arial" w:cs="Arial"/>
          <w:bCs/>
          <w:sz w:val="22"/>
          <w:szCs w:val="22"/>
        </w:rPr>
        <w:t xml:space="preserve">acia un empleo moderno y sostenible”, </w:t>
      </w:r>
      <w:r w:rsidR="00C03214" w:rsidRPr="00A470A7">
        <w:rPr>
          <w:rFonts w:ascii="Arial" w:eastAsia="Arial" w:hAnsi="Arial" w:cs="Arial"/>
          <w:bCs/>
          <w:sz w:val="22"/>
          <w:szCs w:val="22"/>
        </w:rPr>
        <w:t xml:space="preserve">la compañía identifica </w:t>
      </w:r>
      <w:r w:rsidR="009333A0">
        <w:rPr>
          <w:rFonts w:ascii="Arial" w:eastAsia="Arial" w:hAnsi="Arial" w:cs="Arial"/>
          <w:bCs/>
          <w:sz w:val="22"/>
          <w:szCs w:val="22"/>
        </w:rPr>
        <w:t xml:space="preserve">e ilustra con datos clave las </w:t>
      </w:r>
      <w:r w:rsidRPr="00A470A7">
        <w:rPr>
          <w:rFonts w:ascii="Arial" w:eastAsia="Arial" w:hAnsi="Arial" w:cs="Arial"/>
          <w:bCs/>
          <w:sz w:val="22"/>
          <w:szCs w:val="22"/>
        </w:rPr>
        <w:t>14 tendencias</w:t>
      </w:r>
      <w:r w:rsidR="00662ABF">
        <w:rPr>
          <w:rFonts w:ascii="Arial" w:eastAsia="Arial" w:hAnsi="Arial" w:cs="Arial"/>
          <w:bCs/>
          <w:sz w:val="22"/>
          <w:szCs w:val="22"/>
        </w:rPr>
        <w:t xml:space="preserve"> que</w:t>
      </w:r>
      <w:r w:rsidRPr="00A470A7">
        <w:rPr>
          <w:rFonts w:ascii="Arial" w:eastAsia="Arial" w:hAnsi="Arial" w:cs="Arial"/>
          <w:bCs/>
          <w:sz w:val="22"/>
          <w:szCs w:val="22"/>
        </w:rPr>
        <w:t xml:space="preserve"> </w:t>
      </w:r>
      <w:r w:rsidR="00C03214" w:rsidRPr="00A470A7">
        <w:rPr>
          <w:rFonts w:ascii="Arial" w:eastAsia="Arial" w:hAnsi="Arial" w:cs="Arial"/>
          <w:bCs/>
          <w:sz w:val="22"/>
          <w:szCs w:val="22"/>
        </w:rPr>
        <w:t xml:space="preserve">ya están impactando en </w:t>
      </w:r>
      <w:r w:rsidR="009333A0">
        <w:rPr>
          <w:rFonts w:ascii="Arial" w:eastAsia="Arial" w:hAnsi="Arial" w:cs="Arial"/>
          <w:bCs/>
          <w:sz w:val="22"/>
          <w:szCs w:val="22"/>
        </w:rPr>
        <w:t xml:space="preserve">compañías </w:t>
      </w:r>
      <w:r w:rsidR="00C03214" w:rsidRPr="00A470A7">
        <w:rPr>
          <w:rFonts w:ascii="Arial" w:eastAsia="Arial" w:hAnsi="Arial" w:cs="Arial"/>
          <w:bCs/>
          <w:sz w:val="22"/>
          <w:szCs w:val="22"/>
        </w:rPr>
        <w:t xml:space="preserve">y </w:t>
      </w:r>
      <w:r w:rsidR="009333A0">
        <w:rPr>
          <w:rFonts w:ascii="Arial" w:eastAsia="Arial" w:hAnsi="Arial" w:cs="Arial"/>
          <w:bCs/>
          <w:sz w:val="22"/>
          <w:szCs w:val="22"/>
        </w:rPr>
        <w:t xml:space="preserve">trabajadores </w:t>
      </w:r>
      <w:r w:rsidR="00C03214" w:rsidRPr="00A470A7">
        <w:rPr>
          <w:rFonts w:ascii="Arial" w:eastAsia="Arial" w:hAnsi="Arial" w:cs="Arial"/>
          <w:bCs/>
          <w:sz w:val="22"/>
          <w:szCs w:val="22"/>
        </w:rPr>
        <w:t xml:space="preserve">y lo seguirán haciendo </w:t>
      </w:r>
      <w:r w:rsidRPr="00A470A7">
        <w:rPr>
          <w:rFonts w:ascii="Arial" w:eastAsia="Arial" w:hAnsi="Arial" w:cs="Arial"/>
          <w:bCs/>
          <w:sz w:val="22"/>
          <w:szCs w:val="22"/>
        </w:rPr>
        <w:t>en los próximos años, con el objetivo de proporcionar orientación para</w:t>
      </w:r>
      <w:r w:rsidRPr="00A470A7">
        <w:rPr>
          <w:rFonts w:ascii="Arial" w:hAnsi="Arial" w:cs="Arial"/>
        </w:rPr>
        <w:t xml:space="preserve"> </w:t>
      </w:r>
      <w:r w:rsidRPr="00A470A7">
        <w:rPr>
          <w:rFonts w:ascii="Arial" w:eastAsia="Arial" w:hAnsi="Arial" w:cs="Arial"/>
          <w:bCs/>
          <w:sz w:val="22"/>
          <w:szCs w:val="22"/>
        </w:rPr>
        <w:t xml:space="preserve">afrontar los desafíos y </w:t>
      </w:r>
      <w:r w:rsidR="00C03214" w:rsidRPr="00A470A7">
        <w:rPr>
          <w:rFonts w:ascii="Arial" w:eastAsia="Arial" w:hAnsi="Arial" w:cs="Arial"/>
          <w:bCs/>
          <w:sz w:val="22"/>
          <w:szCs w:val="22"/>
        </w:rPr>
        <w:t xml:space="preserve">aprovechar </w:t>
      </w:r>
      <w:r w:rsidRPr="00A470A7">
        <w:rPr>
          <w:rFonts w:ascii="Arial" w:eastAsia="Arial" w:hAnsi="Arial" w:cs="Arial"/>
          <w:bCs/>
          <w:sz w:val="22"/>
          <w:szCs w:val="22"/>
        </w:rPr>
        <w:t>oportunidades emergentes.</w:t>
      </w:r>
    </w:p>
    <w:p w14:paraId="44BB6B0A" w14:textId="45E0D96C" w:rsidR="00C03214" w:rsidRPr="00A470A7" w:rsidRDefault="00C03214" w:rsidP="00C03214">
      <w:pPr>
        <w:pStyle w:val="NormalWeb"/>
        <w:shd w:val="clear" w:color="auto" w:fill="FFFFFF"/>
        <w:spacing w:before="120" w:beforeAutospacing="0" w:after="0" w:afterAutospacing="0" w:line="288" w:lineRule="auto"/>
        <w:jc w:val="both"/>
        <w:rPr>
          <w:rFonts w:ascii="Arial" w:eastAsia="Arial" w:hAnsi="Arial" w:cs="Arial"/>
          <w:sz w:val="22"/>
          <w:szCs w:val="22"/>
        </w:rPr>
      </w:pPr>
      <w:r w:rsidRPr="00A470A7">
        <w:rPr>
          <w:rFonts w:ascii="Arial" w:eastAsia="Arial" w:hAnsi="Arial" w:cs="Arial"/>
          <w:sz w:val="22"/>
          <w:szCs w:val="22"/>
        </w:rPr>
        <w:t xml:space="preserve">Articuladas en torno a </w:t>
      </w:r>
      <w:r w:rsidR="00A16AE4" w:rsidRPr="00A470A7">
        <w:rPr>
          <w:rFonts w:ascii="Arial" w:eastAsia="Arial" w:hAnsi="Arial" w:cs="Arial"/>
          <w:sz w:val="22"/>
          <w:szCs w:val="22"/>
        </w:rPr>
        <w:t xml:space="preserve">cuatro fuerzas clave que </w:t>
      </w:r>
      <w:r w:rsidRPr="00A470A7">
        <w:rPr>
          <w:rFonts w:ascii="Arial" w:eastAsia="Arial" w:hAnsi="Arial" w:cs="Arial"/>
          <w:sz w:val="22"/>
          <w:szCs w:val="22"/>
        </w:rPr>
        <w:t xml:space="preserve">llevan años dando forma al mundo del empleo </w:t>
      </w:r>
      <w:r w:rsidR="00A16AE4" w:rsidRPr="00A470A7">
        <w:rPr>
          <w:rFonts w:ascii="Arial" w:eastAsia="Arial" w:hAnsi="Arial" w:cs="Arial"/>
          <w:sz w:val="22"/>
          <w:szCs w:val="22"/>
        </w:rPr>
        <w:t xml:space="preserve">-cambios demográficos, avances tecnológicos, motores de competitividad y preferencias individuales-, se </w:t>
      </w:r>
      <w:r w:rsidRPr="00A470A7">
        <w:rPr>
          <w:rFonts w:ascii="Arial" w:eastAsia="Arial" w:hAnsi="Arial" w:cs="Arial"/>
          <w:sz w:val="22"/>
          <w:szCs w:val="22"/>
        </w:rPr>
        <w:t xml:space="preserve">organizan estas 14 </w:t>
      </w:r>
      <w:r w:rsidR="00A16AE4" w:rsidRPr="00A470A7">
        <w:rPr>
          <w:rFonts w:ascii="Arial" w:eastAsia="Arial" w:hAnsi="Arial" w:cs="Arial"/>
          <w:sz w:val="22"/>
          <w:szCs w:val="22"/>
        </w:rPr>
        <w:t xml:space="preserve">tendencias que van desde la </w:t>
      </w:r>
      <w:r w:rsidRPr="00A470A7">
        <w:rPr>
          <w:rFonts w:ascii="Arial" w:eastAsia="Arial" w:hAnsi="Arial" w:cs="Arial"/>
          <w:sz w:val="22"/>
          <w:szCs w:val="22"/>
        </w:rPr>
        <w:t xml:space="preserve">aplicación </w:t>
      </w:r>
      <w:r w:rsidR="00A16AE4" w:rsidRPr="00A470A7">
        <w:rPr>
          <w:rFonts w:ascii="Arial" w:eastAsia="Arial" w:hAnsi="Arial" w:cs="Arial"/>
          <w:sz w:val="22"/>
          <w:szCs w:val="22"/>
        </w:rPr>
        <w:t xml:space="preserve">de </w:t>
      </w:r>
      <w:r w:rsidRPr="00A470A7">
        <w:rPr>
          <w:rFonts w:ascii="Arial" w:eastAsia="Arial" w:hAnsi="Arial" w:cs="Arial"/>
          <w:sz w:val="22"/>
          <w:szCs w:val="22"/>
        </w:rPr>
        <w:t xml:space="preserve">la </w:t>
      </w:r>
      <w:r w:rsidR="00A16AE4" w:rsidRPr="00A470A7">
        <w:rPr>
          <w:rFonts w:ascii="Arial" w:eastAsia="Arial" w:hAnsi="Arial" w:cs="Arial"/>
          <w:sz w:val="22"/>
          <w:szCs w:val="22"/>
        </w:rPr>
        <w:t xml:space="preserve">inteligencia artificial </w:t>
      </w:r>
      <w:r w:rsidRPr="00A470A7">
        <w:rPr>
          <w:rFonts w:ascii="Arial" w:eastAsia="Arial" w:hAnsi="Arial" w:cs="Arial"/>
          <w:sz w:val="22"/>
          <w:szCs w:val="22"/>
        </w:rPr>
        <w:t>y su impacto</w:t>
      </w:r>
      <w:r w:rsidR="008D44C0">
        <w:rPr>
          <w:rFonts w:ascii="Arial" w:eastAsia="Arial" w:hAnsi="Arial" w:cs="Arial"/>
          <w:sz w:val="22"/>
          <w:szCs w:val="22"/>
        </w:rPr>
        <w:t xml:space="preserve"> en el empleo</w:t>
      </w:r>
      <w:r w:rsidRPr="00A470A7">
        <w:rPr>
          <w:rFonts w:ascii="Arial" w:eastAsia="Arial" w:hAnsi="Arial" w:cs="Arial"/>
          <w:sz w:val="22"/>
          <w:szCs w:val="22"/>
        </w:rPr>
        <w:t xml:space="preserve">; </w:t>
      </w:r>
      <w:r w:rsidR="00A16AE4" w:rsidRPr="00A470A7">
        <w:rPr>
          <w:rFonts w:ascii="Arial" w:eastAsia="Arial" w:hAnsi="Arial" w:cs="Arial"/>
          <w:sz w:val="22"/>
          <w:szCs w:val="22"/>
        </w:rPr>
        <w:t xml:space="preserve">el aumento del trabajo </w:t>
      </w:r>
      <w:r w:rsidR="008D44C0">
        <w:rPr>
          <w:rFonts w:ascii="Arial" w:eastAsia="Arial" w:hAnsi="Arial" w:cs="Arial"/>
          <w:sz w:val="22"/>
          <w:szCs w:val="22"/>
        </w:rPr>
        <w:t xml:space="preserve">en </w:t>
      </w:r>
      <w:r w:rsidR="00A16AE4" w:rsidRPr="00A470A7">
        <w:rPr>
          <w:rFonts w:ascii="Arial" w:eastAsia="Arial" w:hAnsi="Arial" w:cs="Arial"/>
          <w:sz w:val="22"/>
          <w:szCs w:val="22"/>
        </w:rPr>
        <w:t>remoto facilitado por la automatización</w:t>
      </w:r>
      <w:r w:rsidRPr="00A470A7">
        <w:rPr>
          <w:rFonts w:ascii="Arial" w:eastAsia="Arial" w:hAnsi="Arial" w:cs="Arial"/>
          <w:sz w:val="22"/>
          <w:szCs w:val="22"/>
        </w:rPr>
        <w:t xml:space="preserve">; la reorganización que están viviendo las cadenas de suministro; </w:t>
      </w:r>
      <w:r w:rsidR="00A16AE4" w:rsidRPr="00A470A7">
        <w:rPr>
          <w:rFonts w:ascii="Arial" w:eastAsia="Arial" w:hAnsi="Arial" w:cs="Arial"/>
          <w:sz w:val="22"/>
          <w:szCs w:val="22"/>
        </w:rPr>
        <w:t xml:space="preserve">o la transformación verde, que </w:t>
      </w:r>
      <w:r w:rsidRPr="00A470A7">
        <w:rPr>
          <w:rFonts w:ascii="Arial" w:eastAsia="Arial" w:hAnsi="Arial" w:cs="Arial"/>
          <w:sz w:val="22"/>
          <w:szCs w:val="22"/>
        </w:rPr>
        <w:t xml:space="preserve">tendrá un impacto directo en cómo las </w:t>
      </w:r>
      <w:r w:rsidR="00A16AE4" w:rsidRPr="00A470A7">
        <w:rPr>
          <w:rFonts w:ascii="Arial" w:eastAsia="Arial" w:hAnsi="Arial" w:cs="Arial"/>
          <w:sz w:val="22"/>
          <w:szCs w:val="22"/>
        </w:rPr>
        <w:t>organizaciones gestion</w:t>
      </w:r>
      <w:r w:rsidRPr="00A470A7">
        <w:rPr>
          <w:rFonts w:ascii="Arial" w:eastAsia="Arial" w:hAnsi="Arial" w:cs="Arial"/>
          <w:sz w:val="22"/>
          <w:szCs w:val="22"/>
        </w:rPr>
        <w:t>a</w:t>
      </w:r>
      <w:r w:rsidR="00A16AE4" w:rsidRPr="00A470A7">
        <w:rPr>
          <w:rFonts w:ascii="Arial" w:eastAsia="Arial" w:hAnsi="Arial" w:cs="Arial"/>
          <w:sz w:val="22"/>
          <w:szCs w:val="22"/>
        </w:rPr>
        <w:t>n su</w:t>
      </w:r>
      <w:r w:rsidRPr="00A470A7">
        <w:rPr>
          <w:rFonts w:ascii="Arial" w:eastAsia="Arial" w:hAnsi="Arial" w:cs="Arial"/>
          <w:sz w:val="22"/>
          <w:szCs w:val="22"/>
        </w:rPr>
        <w:t>s equipos</w:t>
      </w:r>
      <w:r w:rsidR="00A16AE4" w:rsidRPr="00A470A7">
        <w:rPr>
          <w:rFonts w:ascii="Arial" w:eastAsia="Arial" w:hAnsi="Arial" w:cs="Arial"/>
          <w:sz w:val="22"/>
          <w:szCs w:val="22"/>
        </w:rPr>
        <w:t>.</w:t>
      </w:r>
    </w:p>
    <w:p w14:paraId="0205E7EA" w14:textId="60DD9A54" w:rsidR="00A16AE4" w:rsidRPr="00A470A7" w:rsidRDefault="00C03214" w:rsidP="00C03214">
      <w:pPr>
        <w:pStyle w:val="NormalWeb"/>
        <w:shd w:val="clear" w:color="auto" w:fill="FFFFFF"/>
        <w:spacing w:before="120" w:beforeAutospacing="0" w:after="0" w:afterAutospacing="0" w:line="288" w:lineRule="auto"/>
        <w:jc w:val="both"/>
        <w:rPr>
          <w:rFonts w:ascii="Arial" w:hAnsi="Arial" w:cs="Arial"/>
          <w:vanish/>
          <w:sz w:val="16"/>
          <w:szCs w:val="16"/>
        </w:rPr>
      </w:pPr>
      <w:r w:rsidRPr="00A470A7">
        <w:rPr>
          <w:rFonts w:ascii="Arial" w:eastAsia="Arial" w:hAnsi="Arial" w:cs="Arial"/>
          <w:sz w:val="22"/>
          <w:szCs w:val="22"/>
        </w:rPr>
        <w:t>P</w:t>
      </w:r>
      <w:r w:rsidR="00A16AE4" w:rsidRPr="00A470A7">
        <w:rPr>
          <w:rFonts w:ascii="Arial" w:eastAsia="Arial" w:hAnsi="Arial" w:cs="Arial"/>
          <w:sz w:val="22"/>
          <w:szCs w:val="22"/>
        </w:rPr>
        <w:t xml:space="preserve">ara </w:t>
      </w:r>
      <w:r w:rsidR="00A16AE4" w:rsidRPr="00A470A7">
        <w:rPr>
          <w:rFonts w:ascii="Arial" w:eastAsia="Arial" w:hAnsi="Arial" w:cs="Arial"/>
          <w:b/>
          <w:bCs/>
          <w:sz w:val="22"/>
          <w:szCs w:val="22"/>
        </w:rPr>
        <w:t xml:space="preserve">Francisco Ribeiro, Country Manager de ManpowerGroup, </w:t>
      </w:r>
      <w:r w:rsidR="00A16AE4" w:rsidRPr="00A470A7">
        <w:rPr>
          <w:rFonts w:ascii="Arial" w:eastAsia="Arial" w:hAnsi="Arial" w:cs="Arial"/>
          <w:i/>
          <w:iCs/>
          <w:sz w:val="22"/>
          <w:szCs w:val="22"/>
        </w:rPr>
        <w:t>“</w:t>
      </w:r>
      <w:r w:rsidRPr="00A470A7">
        <w:rPr>
          <w:rFonts w:ascii="Arial" w:eastAsia="Arial" w:hAnsi="Arial" w:cs="Arial"/>
          <w:i/>
          <w:iCs/>
          <w:sz w:val="22"/>
          <w:szCs w:val="22"/>
        </w:rPr>
        <w:t xml:space="preserve">estas tendencias </w:t>
      </w:r>
      <w:r w:rsidR="00A16AE4" w:rsidRPr="00A470A7">
        <w:rPr>
          <w:rFonts w:ascii="Arial" w:eastAsia="Arial" w:hAnsi="Arial" w:cs="Arial"/>
          <w:i/>
          <w:iCs/>
          <w:sz w:val="22"/>
          <w:szCs w:val="22"/>
        </w:rPr>
        <w:t xml:space="preserve">no solo reflejan los cambios en las demandas del mercado, sino que también </w:t>
      </w:r>
      <w:r w:rsidR="008D44C0">
        <w:rPr>
          <w:rFonts w:ascii="Arial" w:eastAsia="Arial" w:hAnsi="Arial" w:cs="Arial"/>
          <w:i/>
          <w:iCs/>
          <w:sz w:val="22"/>
          <w:szCs w:val="22"/>
        </w:rPr>
        <w:t xml:space="preserve">ofrecen claves sobre retos que se aproximan y </w:t>
      </w:r>
      <w:r w:rsidR="00A16AE4" w:rsidRPr="00A470A7">
        <w:rPr>
          <w:rFonts w:ascii="Arial" w:eastAsia="Arial" w:hAnsi="Arial" w:cs="Arial"/>
          <w:i/>
          <w:iCs/>
          <w:sz w:val="22"/>
          <w:szCs w:val="22"/>
        </w:rPr>
        <w:t>oportunidades para la innovación. Estamos ante un</w:t>
      </w:r>
      <w:r w:rsidR="008D44C0">
        <w:rPr>
          <w:rFonts w:ascii="Arial" w:eastAsia="Arial" w:hAnsi="Arial" w:cs="Arial"/>
          <w:i/>
          <w:iCs/>
          <w:sz w:val="22"/>
          <w:szCs w:val="22"/>
        </w:rPr>
        <w:t xml:space="preserve"> momento en el que las</w:t>
      </w:r>
      <w:r w:rsidR="00A16AE4" w:rsidRPr="00A470A7">
        <w:rPr>
          <w:rFonts w:ascii="Arial" w:eastAsia="Arial" w:hAnsi="Arial" w:cs="Arial"/>
          <w:i/>
          <w:iCs/>
          <w:sz w:val="22"/>
          <w:szCs w:val="22"/>
        </w:rPr>
        <w:t xml:space="preserve"> transformac</w:t>
      </w:r>
      <w:r w:rsidR="008D44C0">
        <w:rPr>
          <w:rFonts w:ascii="Arial" w:eastAsia="Arial" w:hAnsi="Arial" w:cs="Arial"/>
          <w:i/>
          <w:iCs/>
          <w:sz w:val="22"/>
          <w:szCs w:val="22"/>
        </w:rPr>
        <w:t>iones</w:t>
      </w:r>
      <w:r w:rsidR="00A16AE4" w:rsidRPr="00A470A7">
        <w:rPr>
          <w:rFonts w:ascii="Arial" w:eastAsia="Arial" w:hAnsi="Arial" w:cs="Arial"/>
          <w:i/>
          <w:iCs/>
          <w:sz w:val="22"/>
          <w:szCs w:val="22"/>
        </w:rPr>
        <w:t xml:space="preserve"> </w:t>
      </w:r>
      <w:r w:rsidRPr="00A470A7">
        <w:rPr>
          <w:rFonts w:ascii="Arial" w:eastAsia="Arial" w:hAnsi="Arial" w:cs="Arial"/>
          <w:i/>
          <w:iCs/>
          <w:sz w:val="22"/>
          <w:szCs w:val="22"/>
        </w:rPr>
        <w:t>ocurre</w:t>
      </w:r>
      <w:r w:rsidR="008D44C0">
        <w:rPr>
          <w:rFonts w:ascii="Arial" w:eastAsia="Arial" w:hAnsi="Arial" w:cs="Arial"/>
          <w:i/>
          <w:iCs/>
          <w:sz w:val="22"/>
          <w:szCs w:val="22"/>
        </w:rPr>
        <w:t>n</w:t>
      </w:r>
      <w:r w:rsidRPr="00A470A7">
        <w:rPr>
          <w:rFonts w:ascii="Arial" w:eastAsia="Arial" w:hAnsi="Arial" w:cs="Arial"/>
          <w:i/>
          <w:iCs/>
          <w:sz w:val="22"/>
          <w:szCs w:val="22"/>
        </w:rPr>
        <w:t xml:space="preserve"> a una velocidad </w:t>
      </w:r>
      <w:r w:rsidR="00A16AE4" w:rsidRPr="00A470A7">
        <w:rPr>
          <w:rFonts w:ascii="Arial" w:eastAsia="Arial" w:hAnsi="Arial" w:cs="Arial"/>
          <w:i/>
          <w:iCs/>
          <w:sz w:val="22"/>
          <w:szCs w:val="22"/>
        </w:rPr>
        <w:t xml:space="preserve">sin precedentes y la </w:t>
      </w:r>
      <w:r w:rsidRPr="00A470A7">
        <w:rPr>
          <w:rFonts w:ascii="Arial" w:eastAsia="Arial" w:hAnsi="Arial" w:cs="Arial"/>
          <w:i/>
          <w:iCs/>
          <w:sz w:val="22"/>
          <w:szCs w:val="22"/>
        </w:rPr>
        <w:t xml:space="preserve">capacidad de adaptación es una herramienta </w:t>
      </w:r>
      <w:r w:rsidR="008D44C0">
        <w:rPr>
          <w:rFonts w:ascii="Arial" w:eastAsia="Arial" w:hAnsi="Arial" w:cs="Arial"/>
          <w:i/>
          <w:iCs/>
          <w:sz w:val="22"/>
          <w:szCs w:val="22"/>
        </w:rPr>
        <w:t xml:space="preserve">fundamental y necesaria </w:t>
      </w:r>
      <w:r w:rsidRPr="00A470A7">
        <w:rPr>
          <w:rFonts w:ascii="Arial" w:eastAsia="Arial" w:hAnsi="Arial" w:cs="Arial"/>
          <w:i/>
          <w:iCs/>
          <w:sz w:val="22"/>
          <w:szCs w:val="22"/>
        </w:rPr>
        <w:t>para las compañías”</w:t>
      </w:r>
      <w:r w:rsidR="00A16AE4" w:rsidRPr="00A470A7">
        <w:rPr>
          <w:rFonts w:ascii="Arial" w:eastAsia="Arial" w:hAnsi="Arial" w:cs="Arial"/>
          <w:i/>
          <w:iCs/>
          <w:sz w:val="22"/>
          <w:szCs w:val="22"/>
        </w:rPr>
        <w:t xml:space="preserve">. </w:t>
      </w:r>
      <w:r w:rsidR="00A16AE4" w:rsidRPr="00A470A7">
        <w:rPr>
          <w:rFonts w:ascii="Arial" w:eastAsia="Arial" w:hAnsi="Arial" w:cs="Arial"/>
          <w:sz w:val="22"/>
          <w:szCs w:val="22"/>
        </w:rPr>
        <w:t>El directivo añade</w:t>
      </w:r>
      <w:r w:rsidR="008D44C0">
        <w:rPr>
          <w:rFonts w:ascii="Arial" w:eastAsia="Arial" w:hAnsi="Arial" w:cs="Arial"/>
          <w:sz w:val="22"/>
          <w:szCs w:val="22"/>
        </w:rPr>
        <w:t xml:space="preserve"> que</w:t>
      </w:r>
      <w:r w:rsidR="00A16AE4" w:rsidRPr="00A470A7">
        <w:rPr>
          <w:rFonts w:ascii="Arial" w:eastAsia="Arial" w:hAnsi="Arial" w:cs="Arial"/>
          <w:i/>
          <w:iCs/>
          <w:sz w:val="22"/>
          <w:szCs w:val="22"/>
        </w:rPr>
        <w:t xml:space="preserve"> “</w:t>
      </w:r>
      <w:r w:rsidR="008D44C0">
        <w:rPr>
          <w:rFonts w:ascii="Arial" w:eastAsia="Arial" w:hAnsi="Arial" w:cs="Arial"/>
          <w:i/>
          <w:iCs/>
          <w:sz w:val="22"/>
          <w:szCs w:val="22"/>
        </w:rPr>
        <w:t>esto ocurre a todos los niveles, no sólo hablando de talento,</w:t>
      </w:r>
      <w:r w:rsidR="008D44C0" w:rsidRPr="00A470A7">
        <w:rPr>
          <w:rFonts w:ascii="Arial" w:eastAsia="Arial" w:hAnsi="Arial" w:cs="Arial"/>
          <w:i/>
          <w:iCs/>
          <w:sz w:val="22"/>
          <w:szCs w:val="22"/>
        </w:rPr>
        <w:t xml:space="preserve"> </w:t>
      </w:r>
      <w:r w:rsidR="008D44C0">
        <w:rPr>
          <w:rFonts w:ascii="Arial" w:eastAsia="Arial" w:hAnsi="Arial" w:cs="Arial"/>
          <w:i/>
          <w:iCs/>
          <w:sz w:val="22"/>
          <w:szCs w:val="22"/>
        </w:rPr>
        <w:t xml:space="preserve">y </w:t>
      </w:r>
      <w:r w:rsidR="00A16AE4" w:rsidRPr="00A470A7">
        <w:rPr>
          <w:rFonts w:ascii="Arial" w:eastAsia="Arial" w:hAnsi="Arial" w:cs="Arial"/>
          <w:i/>
          <w:iCs/>
          <w:sz w:val="22"/>
          <w:szCs w:val="22"/>
        </w:rPr>
        <w:t>las empresas deben estar dispuestas a evolucionar constantemente, abrazar la tecnología de manera inteligente y priorizar la sostenibilidad</w:t>
      </w:r>
      <w:r w:rsidRPr="00A470A7">
        <w:rPr>
          <w:rFonts w:ascii="Arial" w:eastAsia="Arial" w:hAnsi="Arial" w:cs="Arial"/>
          <w:i/>
          <w:iCs/>
          <w:sz w:val="22"/>
          <w:szCs w:val="22"/>
        </w:rPr>
        <w:t>. Y todo ello sin perder</w:t>
      </w:r>
      <w:r w:rsidR="008D44C0">
        <w:rPr>
          <w:rFonts w:ascii="Arial" w:eastAsia="Arial" w:hAnsi="Arial" w:cs="Arial"/>
          <w:i/>
          <w:iCs/>
          <w:sz w:val="22"/>
          <w:szCs w:val="22"/>
        </w:rPr>
        <w:t xml:space="preserve"> de vista</w:t>
      </w:r>
      <w:r w:rsidRPr="00A470A7">
        <w:rPr>
          <w:rFonts w:ascii="Arial" w:eastAsia="Arial" w:hAnsi="Arial" w:cs="Arial"/>
          <w:i/>
          <w:iCs/>
          <w:sz w:val="22"/>
          <w:szCs w:val="22"/>
        </w:rPr>
        <w:t xml:space="preserve"> </w:t>
      </w:r>
      <w:r w:rsidR="00A470A7" w:rsidRPr="00A470A7">
        <w:rPr>
          <w:rFonts w:ascii="Arial" w:eastAsia="Arial" w:hAnsi="Arial" w:cs="Arial"/>
          <w:i/>
          <w:iCs/>
          <w:sz w:val="22"/>
          <w:szCs w:val="22"/>
        </w:rPr>
        <w:t xml:space="preserve">que </w:t>
      </w:r>
      <w:r w:rsidR="008D44C0">
        <w:rPr>
          <w:rFonts w:ascii="Arial" w:eastAsia="Arial" w:hAnsi="Arial" w:cs="Arial"/>
          <w:i/>
          <w:iCs/>
          <w:sz w:val="22"/>
          <w:szCs w:val="22"/>
        </w:rPr>
        <w:t>el principal generador de valor añadido siguen siendo las personas</w:t>
      </w:r>
      <w:r w:rsidRPr="00A470A7">
        <w:rPr>
          <w:rFonts w:ascii="Arial" w:eastAsia="Arial" w:hAnsi="Arial" w:cs="Arial"/>
          <w:i/>
          <w:iCs/>
          <w:sz w:val="22"/>
          <w:szCs w:val="22"/>
        </w:rPr>
        <w:t>”</w:t>
      </w:r>
      <w:r w:rsidR="00A16AE4" w:rsidRPr="00A470A7">
        <w:rPr>
          <w:rFonts w:ascii="Arial" w:eastAsia="Arial" w:hAnsi="Arial" w:cs="Arial"/>
          <w:i/>
          <w:iCs/>
          <w:sz w:val="22"/>
          <w:szCs w:val="22"/>
        </w:rPr>
        <w:t>.</w:t>
      </w:r>
    </w:p>
    <w:p w14:paraId="379EBB66" w14:textId="77777777" w:rsidR="00A16AE4" w:rsidRDefault="00A16AE4" w:rsidP="00C03214">
      <w:pPr>
        <w:pStyle w:val="NormalWeb"/>
        <w:shd w:val="clear" w:color="auto" w:fill="FFFFFF"/>
        <w:spacing w:before="120" w:beforeAutospacing="0" w:after="0" w:afterAutospacing="0" w:line="288" w:lineRule="auto"/>
        <w:jc w:val="both"/>
        <w:rPr>
          <w:rFonts w:ascii="Arial" w:eastAsia="Arial" w:hAnsi="Arial" w:cs="Arial"/>
          <w:sz w:val="22"/>
          <w:szCs w:val="22"/>
        </w:rPr>
      </w:pPr>
    </w:p>
    <w:p w14:paraId="5F880528" w14:textId="77777777" w:rsidR="00A16AE4" w:rsidRPr="00A470A7" w:rsidRDefault="00A16AE4" w:rsidP="00C03214">
      <w:pPr>
        <w:pStyle w:val="NormalWeb"/>
        <w:shd w:val="clear" w:color="auto" w:fill="FFFFFF"/>
        <w:spacing w:before="120" w:beforeAutospacing="0" w:after="0" w:afterAutospacing="0" w:line="288" w:lineRule="auto"/>
        <w:jc w:val="both"/>
        <w:rPr>
          <w:rFonts w:ascii="Arial" w:eastAsia="Arial" w:hAnsi="Arial" w:cs="Arial"/>
          <w:b/>
          <w:sz w:val="22"/>
          <w:szCs w:val="22"/>
        </w:rPr>
      </w:pPr>
      <w:r w:rsidRPr="00A470A7">
        <w:rPr>
          <w:rFonts w:ascii="Arial" w:eastAsia="Arial" w:hAnsi="Arial" w:cs="Arial"/>
          <w:b/>
          <w:sz w:val="22"/>
          <w:szCs w:val="22"/>
        </w:rPr>
        <w:t>Principales tendencias del mercado del empleo en 2024</w:t>
      </w:r>
    </w:p>
    <w:p w14:paraId="003ABCDB" w14:textId="590461E4" w:rsidR="00A16AE4" w:rsidRPr="00A470A7" w:rsidRDefault="00A16AE4" w:rsidP="00C03214">
      <w:pPr>
        <w:pStyle w:val="NormalWeb"/>
        <w:shd w:val="clear" w:color="auto" w:fill="FFFFFF"/>
        <w:spacing w:before="120" w:beforeAutospacing="0" w:after="0" w:afterAutospacing="0" w:line="288" w:lineRule="auto"/>
        <w:jc w:val="both"/>
        <w:rPr>
          <w:rFonts w:ascii="Arial" w:eastAsia="Arial" w:hAnsi="Arial" w:cs="Arial"/>
          <w:bCs/>
          <w:sz w:val="22"/>
          <w:szCs w:val="22"/>
        </w:rPr>
      </w:pPr>
      <w:r w:rsidRPr="00A470A7">
        <w:rPr>
          <w:rFonts w:ascii="Arial" w:eastAsia="Arial" w:hAnsi="Arial" w:cs="Arial"/>
          <w:bCs/>
          <w:sz w:val="22"/>
          <w:szCs w:val="22"/>
        </w:rPr>
        <w:lastRenderedPageBreak/>
        <w:t xml:space="preserve">Según </w:t>
      </w:r>
      <w:r w:rsidR="00A470A7" w:rsidRPr="00A470A7">
        <w:rPr>
          <w:rFonts w:ascii="Arial" w:eastAsia="Arial" w:hAnsi="Arial" w:cs="Arial"/>
          <w:bCs/>
          <w:sz w:val="22"/>
          <w:szCs w:val="22"/>
        </w:rPr>
        <w:t xml:space="preserve">apunta </w:t>
      </w:r>
      <w:r w:rsidRPr="00A470A7">
        <w:rPr>
          <w:rFonts w:ascii="Arial" w:eastAsia="Arial" w:hAnsi="Arial" w:cs="Arial"/>
          <w:bCs/>
          <w:sz w:val="22"/>
          <w:szCs w:val="22"/>
        </w:rPr>
        <w:t xml:space="preserve">el informe, está surgiendo una nueva relación entre </w:t>
      </w:r>
      <w:r w:rsidR="00A470A7" w:rsidRPr="00A470A7">
        <w:rPr>
          <w:rFonts w:ascii="Arial" w:eastAsia="Arial" w:hAnsi="Arial" w:cs="Arial"/>
          <w:bCs/>
          <w:sz w:val="22"/>
          <w:szCs w:val="22"/>
        </w:rPr>
        <w:t xml:space="preserve">las </w:t>
      </w:r>
      <w:r w:rsidRPr="00A470A7">
        <w:rPr>
          <w:rFonts w:ascii="Arial" w:eastAsia="Arial" w:hAnsi="Arial" w:cs="Arial"/>
          <w:bCs/>
          <w:sz w:val="22"/>
          <w:szCs w:val="22"/>
        </w:rPr>
        <w:t xml:space="preserve">organizaciones y </w:t>
      </w:r>
      <w:r w:rsidR="00A470A7" w:rsidRPr="00A470A7">
        <w:rPr>
          <w:rFonts w:ascii="Arial" w:eastAsia="Arial" w:hAnsi="Arial" w:cs="Arial"/>
          <w:bCs/>
          <w:sz w:val="22"/>
          <w:szCs w:val="22"/>
        </w:rPr>
        <w:t xml:space="preserve">sus </w:t>
      </w:r>
      <w:r w:rsidRPr="00A470A7">
        <w:rPr>
          <w:rFonts w:ascii="Arial" w:eastAsia="Arial" w:hAnsi="Arial" w:cs="Arial"/>
          <w:bCs/>
          <w:sz w:val="22"/>
          <w:szCs w:val="22"/>
        </w:rPr>
        <w:t>profesionales, en la que los roles tradicionales se reequilibran y se reinventan frente a unos cambios y oportunidades sin precedentes. En ese sentido, la creatividad, la colaboración y la flexibilidad se perfilan como fundamentales para un futuro del empleo próspero, bajo el paraguas de la sostenibilidad, la digitalización y la automatización.</w:t>
      </w:r>
    </w:p>
    <w:p w14:paraId="686BD18F" w14:textId="77777777" w:rsidR="00A16AE4" w:rsidRPr="00A470A7" w:rsidRDefault="00A16AE4" w:rsidP="00C03214">
      <w:pPr>
        <w:pStyle w:val="NormalWeb"/>
        <w:shd w:val="clear" w:color="auto" w:fill="FFFFFF"/>
        <w:spacing w:before="120" w:beforeAutospacing="0" w:after="0" w:afterAutospacing="0" w:line="288" w:lineRule="auto"/>
        <w:jc w:val="both"/>
        <w:rPr>
          <w:rFonts w:ascii="Arial" w:eastAsia="Arial" w:hAnsi="Arial" w:cs="Arial"/>
          <w:bCs/>
          <w:sz w:val="22"/>
          <w:szCs w:val="22"/>
        </w:rPr>
      </w:pPr>
      <w:r w:rsidRPr="00A470A7">
        <w:rPr>
          <w:rFonts w:ascii="Arial" w:eastAsia="Arial" w:hAnsi="Arial" w:cs="Arial"/>
          <w:bCs/>
          <w:sz w:val="22"/>
          <w:szCs w:val="22"/>
        </w:rPr>
        <w:t>Así, los aspectos clave que las organizaciones deben tener en cuenta son:</w:t>
      </w:r>
    </w:p>
    <w:p w14:paraId="0B53370B" w14:textId="77777777" w:rsidR="00A16AE4" w:rsidRPr="00A470A7" w:rsidRDefault="00A16AE4" w:rsidP="00C03214">
      <w:pPr>
        <w:pStyle w:val="NormalWeb"/>
        <w:shd w:val="clear" w:color="auto" w:fill="FFFFFF"/>
        <w:spacing w:before="120" w:beforeAutospacing="0" w:after="0" w:afterAutospacing="0" w:line="288" w:lineRule="auto"/>
        <w:jc w:val="both"/>
        <w:rPr>
          <w:rFonts w:ascii="Arial" w:eastAsia="Arial" w:hAnsi="Arial" w:cs="Arial"/>
          <w:b/>
          <w:sz w:val="22"/>
          <w:szCs w:val="22"/>
        </w:rPr>
      </w:pPr>
      <w:r w:rsidRPr="00A470A7">
        <w:rPr>
          <w:rFonts w:ascii="Arial" w:eastAsia="Arial" w:hAnsi="Arial" w:cs="Arial"/>
          <w:b/>
          <w:sz w:val="22"/>
          <w:szCs w:val="22"/>
        </w:rPr>
        <w:t>1. Cambios demográficos</w:t>
      </w:r>
    </w:p>
    <w:p w14:paraId="12734590" w14:textId="6F775CD7" w:rsidR="00A16AE4" w:rsidRPr="00A470A7" w:rsidRDefault="00A470A7" w:rsidP="00C03214">
      <w:pPr>
        <w:pStyle w:val="Prrafodelista"/>
        <w:numPr>
          <w:ilvl w:val="0"/>
          <w:numId w:val="8"/>
        </w:numPr>
        <w:shd w:val="clear" w:color="auto" w:fill="FFFFFF"/>
        <w:spacing w:before="120" w:line="288" w:lineRule="auto"/>
        <w:contextualSpacing w:val="0"/>
        <w:jc w:val="both"/>
        <w:rPr>
          <w:rFonts w:ascii="Arial" w:eastAsia="Arial" w:hAnsi="Arial" w:cs="Arial"/>
          <w:b/>
          <w:sz w:val="22"/>
          <w:szCs w:val="22"/>
        </w:rPr>
      </w:pPr>
      <w:r w:rsidRPr="00A470A7">
        <w:rPr>
          <w:rFonts w:ascii="Arial" w:eastAsia="Arial" w:hAnsi="Arial" w:cs="Arial"/>
          <w:b/>
          <w:bCs/>
          <w:sz w:val="22"/>
          <w:szCs w:val="22"/>
        </w:rPr>
        <w:t xml:space="preserve">La formación juega un papel clave para </w:t>
      </w:r>
      <w:r w:rsidR="00323633">
        <w:rPr>
          <w:rFonts w:ascii="Arial" w:eastAsia="Arial" w:hAnsi="Arial" w:cs="Arial"/>
          <w:b/>
          <w:bCs/>
          <w:sz w:val="22"/>
          <w:szCs w:val="22"/>
        </w:rPr>
        <w:t>aprovechar el talento de los s</w:t>
      </w:r>
      <w:r w:rsidR="00510CA3">
        <w:rPr>
          <w:rFonts w:ascii="Arial" w:eastAsia="Arial" w:hAnsi="Arial" w:cs="Arial"/>
          <w:b/>
          <w:bCs/>
          <w:sz w:val="22"/>
          <w:szCs w:val="22"/>
        </w:rPr>
        <w:t>é</w:t>
      </w:r>
      <w:r w:rsidR="00323633">
        <w:rPr>
          <w:rFonts w:ascii="Arial" w:eastAsia="Arial" w:hAnsi="Arial" w:cs="Arial"/>
          <w:b/>
          <w:bCs/>
          <w:sz w:val="22"/>
          <w:szCs w:val="22"/>
        </w:rPr>
        <w:t>nior</w:t>
      </w:r>
      <w:r w:rsidRPr="00A470A7">
        <w:rPr>
          <w:rFonts w:ascii="Arial" w:eastAsia="Arial" w:hAnsi="Arial" w:cs="Arial"/>
          <w:b/>
          <w:bCs/>
          <w:sz w:val="22"/>
          <w:szCs w:val="22"/>
        </w:rPr>
        <w:t>:</w:t>
      </w:r>
      <w:r w:rsidR="00A16AE4" w:rsidRPr="00A470A7">
        <w:rPr>
          <w:rFonts w:ascii="Arial" w:eastAsia="Arial" w:hAnsi="Arial" w:cs="Arial"/>
          <w:b/>
          <w:bCs/>
          <w:sz w:val="22"/>
          <w:szCs w:val="22"/>
        </w:rPr>
        <w:t xml:space="preserve"> </w:t>
      </w:r>
      <w:r w:rsidR="00A16AE4" w:rsidRPr="00A470A7">
        <w:rPr>
          <w:rFonts w:ascii="Arial" w:eastAsia="Arial" w:hAnsi="Arial" w:cs="Arial"/>
          <w:sz w:val="22"/>
          <w:szCs w:val="22"/>
        </w:rPr>
        <w:t>a pesar de la incorporación de profesionales de la Generación Z -para 2030, compondrá el 58% de la fuerza laboral-, la población activa continúa envejeciendo en todo el mundo. Para combatir e</w:t>
      </w:r>
      <w:r w:rsidR="00323633">
        <w:rPr>
          <w:rFonts w:ascii="Arial" w:eastAsia="Arial" w:hAnsi="Arial" w:cs="Arial"/>
          <w:sz w:val="22"/>
          <w:szCs w:val="22"/>
        </w:rPr>
        <w:t xml:space="preserve">l desajuste de talento, </w:t>
      </w:r>
      <w:r w:rsidR="00A16AE4" w:rsidRPr="00A470A7">
        <w:rPr>
          <w:rFonts w:ascii="Arial" w:eastAsia="Arial" w:hAnsi="Arial" w:cs="Arial"/>
          <w:sz w:val="22"/>
          <w:szCs w:val="22"/>
        </w:rPr>
        <w:t xml:space="preserve">las empresas deben </w:t>
      </w:r>
      <w:r w:rsidR="00323633">
        <w:rPr>
          <w:rFonts w:ascii="Arial" w:eastAsia="Arial" w:hAnsi="Arial" w:cs="Arial"/>
          <w:sz w:val="22"/>
          <w:szCs w:val="22"/>
        </w:rPr>
        <w:t xml:space="preserve">explotar todo el potencial del </w:t>
      </w:r>
      <w:r w:rsidR="00A16AE4" w:rsidRPr="00A470A7">
        <w:rPr>
          <w:rFonts w:ascii="Arial" w:eastAsia="Arial" w:hAnsi="Arial" w:cs="Arial"/>
          <w:i/>
          <w:iCs/>
          <w:sz w:val="22"/>
          <w:szCs w:val="22"/>
        </w:rPr>
        <w:t>upskilling</w:t>
      </w:r>
      <w:r w:rsidR="00A16AE4" w:rsidRPr="00A470A7">
        <w:rPr>
          <w:rFonts w:ascii="Arial" w:eastAsia="Arial" w:hAnsi="Arial" w:cs="Arial"/>
          <w:sz w:val="22"/>
          <w:szCs w:val="22"/>
        </w:rPr>
        <w:t xml:space="preserve"> y </w:t>
      </w:r>
      <w:r w:rsidR="00323633">
        <w:rPr>
          <w:rFonts w:ascii="Arial" w:eastAsia="Arial" w:hAnsi="Arial" w:cs="Arial"/>
          <w:sz w:val="22"/>
          <w:szCs w:val="22"/>
        </w:rPr>
        <w:t xml:space="preserve">el </w:t>
      </w:r>
      <w:r w:rsidR="00A16AE4" w:rsidRPr="00A470A7">
        <w:rPr>
          <w:rFonts w:ascii="Arial" w:eastAsia="Arial" w:hAnsi="Arial" w:cs="Arial"/>
          <w:i/>
          <w:iCs/>
          <w:sz w:val="22"/>
          <w:szCs w:val="22"/>
        </w:rPr>
        <w:t>reskilling</w:t>
      </w:r>
      <w:r w:rsidR="00A16AE4" w:rsidRPr="00A470A7">
        <w:rPr>
          <w:rFonts w:ascii="Arial" w:eastAsia="Arial" w:hAnsi="Arial" w:cs="Arial"/>
          <w:sz w:val="22"/>
          <w:szCs w:val="22"/>
        </w:rPr>
        <w:t>.</w:t>
      </w:r>
    </w:p>
    <w:p w14:paraId="6B40715D" w14:textId="5D6B1EAA" w:rsidR="00A16AE4" w:rsidRPr="00A470A7" w:rsidRDefault="00A16AE4" w:rsidP="00C03214">
      <w:pPr>
        <w:pStyle w:val="Prrafodelista"/>
        <w:numPr>
          <w:ilvl w:val="0"/>
          <w:numId w:val="8"/>
        </w:numPr>
        <w:spacing w:before="120" w:line="288" w:lineRule="auto"/>
        <w:ind w:left="714" w:hanging="357"/>
        <w:contextualSpacing w:val="0"/>
        <w:jc w:val="both"/>
        <w:rPr>
          <w:rFonts w:ascii="Arial" w:eastAsia="Arial" w:hAnsi="Arial" w:cs="Arial"/>
          <w:sz w:val="22"/>
          <w:szCs w:val="22"/>
        </w:rPr>
      </w:pPr>
      <w:r w:rsidRPr="00A470A7">
        <w:rPr>
          <w:rFonts w:ascii="Arial" w:eastAsia="Arial" w:hAnsi="Arial" w:cs="Arial"/>
          <w:b/>
          <w:bCs/>
          <w:sz w:val="22"/>
          <w:szCs w:val="22"/>
        </w:rPr>
        <w:t>El futuro del empleo lo impulsarán las mujeres:</w:t>
      </w:r>
      <w:r w:rsidRPr="00A470A7">
        <w:rPr>
          <w:rFonts w:ascii="Arial" w:eastAsia="Arial" w:hAnsi="Arial" w:cs="Arial"/>
          <w:b/>
          <w:sz w:val="22"/>
          <w:szCs w:val="22"/>
        </w:rPr>
        <w:t xml:space="preserve"> </w:t>
      </w:r>
      <w:r w:rsidRPr="00A470A7">
        <w:rPr>
          <w:rFonts w:ascii="Arial" w:eastAsia="Arial" w:hAnsi="Arial" w:cs="Arial"/>
          <w:sz w:val="22"/>
          <w:szCs w:val="22"/>
        </w:rPr>
        <w:t xml:space="preserve">suponen la mitad de la población activa mundial, </w:t>
      </w:r>
      <w:r w:rsidR="00A470A7" w:rsidRPr="00A470A7">
        <w:rPr>
          <w:rFonts w:ascii="Arial" w:eastAsia="Arial" w:hAnsi="Arial" w:cs="Arial"/>
          <w:sz w:val="22"/>
          <w:szCs w:val="22"/>
        </w:rPr>
        <w:t xml:space="preserve">pero </w:t>
      </w:r>
      <w:r w:rsidRPr="00A470A7">
        <w:rPr>
          <w:rFonts w:ascii="Arial" w:eastAsia="Arial" w:hAnsi="Arial" w:cs="Arial"/>
          <w:sz w:val="22"/>
          <w:szCs w:val="22"/>
        </w:rPr>
        <w:t xml:space="preserve">sólo ocupan un tercio de los cargos directivos. </w:t>
      </w:r>
      <w:r w:rsidR="00A470A7" w:rsidRPr="00A470A7">
        <w:rPr>
          <w:rFonts w:ascii="Arial" w:eastAsia="Arial" w:hAnsi="Arial" w:cs="Arial"/>
          <w:sz w:val="22"/>
          <w:szCs w:val="22"/>
        </w:rPr>
        <w:t xml:space="preserve">Han </w:t>
      </w:r>
      <w:r w:rsidRPr="00A470A7">
        <w:rPr>
          <w:rFonts w:ascii="Arial" w:eastAsia="Arial" w:hAnsi="Arial" w:cs="Arial"/>
          <w:sz w:val="22"/>
          <w:szCs w:val="22"/>
        </w:rPr>
        <w:t xml:space="preserve">impulsado </w:t>
      </w:r>
      <w:r w:rsidR="00A470A7" w:rsidRPr="00A470A7">
        <w:rPr>
          <w:rFonts w:ascii="Arial" w:eastAsia="Arial" w:hAnsi="Arial" w:cs="Arial"/>
          <w:sz w:val="22"/>
          <w:szCs w:val="22"/>
        </w:rPr>
        <w:t xml:space="preserve">la aparición </w:t>
      </w:r>
      <w:r w:rsidRPr="00A470A7">
        <w:rPr>
          <w:rFonts w:ascii="Arial" w:eastAsia="Arial" w:hAnsi="Arial" w:cs="Arial"/>
          <w:sz w:val="22"/>
          <w:szCs w:val="22"/>
        </w:rPr>
        <w:t xml:space="preserve">de nuevas carreras, </w:t>
      </w:r>
      <w:r w:rsidR="00A470A7" w:rsidRPr="00A470A7">
        <w:rPr>
          <w:rFonts w:ascii="Arial" w:eastAsia="Arial" w:hAnsi="Arial" w:cs="Arial"/>
          <w:sz w:val="22"/>
          <w:szCs w:val="22"/>
        </w:rPr>
        <w:t xml:space="preserve">han logrado </w:t>
      </w:r>
      <w:r w:rsidRPr="00A470A7">
        <w:rPr>
          <w:rFonts w:ascii="Arial" w:eastAsia="Arial" w:hAnsi="Arial" w:cs="Arial"/>
          <w:sz w:val="22"/>
          <w:szCs w:val="22"/>
        </w:rPr>
        <w:t>mejor</w:t>
      </w:r>
      <w:r w:rsidR="00A470A7" w:rsidRPr="00A470A7">
        <w:rPr>
          <w:rFonts w:ascii="Arial" w:eastAsia="Arial" w:hAnsi="Arial" w:cs="Arial"/>
          <w:sz w:val="22"/>
          <w:szCs w:val="22"/>
        </w:rPr>
        <w:t>a</w:t>
      </w:r>
      <w:r w:rsidRPr="00A470A7">
        <w:rPr>
          <w:rFonts w:ascii="Arial" w:eastAsia="Arial" w:hAnsi="Arial" w:cs="Arial"/>
          <w:sz w:val="22"/>
          <w:szCs w:val="22"/>
        </w:rPr>
        <w:t xml:space="preserve">s </w:t>
      </w:r>
      <w:r w:rsidR="00A470A7" w:rsidRPr="00A470A7">
        <w:rPr>
          <w:rFonts w:ascii="Arial" w:eastAsia="Arial" w:hAnsi="Arial" w:cs="Arial"/>
          <w:sz w:val="22"/>
          <w:szCs w:val="22"/>
        </w:rPr>
        <w:t xml:space="preserve">en </w:t>
      </w:r>
      <w:r w:rsidRPr="00A470A7">
        <w:rPr>
          <w:rFonts w:ascii="Arial" w:eastAsia="Arial" w:hAnsi="Arial" w:cs="Arial"/>
          <w:sz w:val="22"/>
          <w:szCs w:val="22"/>
        </w:rPr>
        <w:t xml:space="preserve">salarios y beneficios y </w:t>
      </w:r>
      <w:r w:rsidR="00A470A7" w:rsidRPr="00A470A7">
        <w:rPr>
          <w:rFonts w:ascii="Arial" w:eastAsia="Arial" w:hAnsi="Arial" w:cs="Arial"/>
          <w:sz w:val="22"/>
          <w:szCs w:val="22"/>
        </w:rPr>
        <w:t xml:space="preserve">han explotado </w:t>
      </w:r>
      <w:r w:rsidRPr="00A470A7">
        <w:rPr>
          <w:rFonts w:ascii="Arial" w:eastAsia="Arial" w:hAnsi="Arial" w:cs="Arial"/>
          <w:sz w:val="22"/>
          <w:szCs w:val="22"/>
        </w:rPr>
        <w:t>nuevas oportunidades</w:t>
      </w:r>
      <w:r w:rsidR="00A470A7" w:rsidRPr="00A470A7">
        <w:rPr>
          <w:rFonts w:ascii="Arial" w:eastAsia="Arial" w:hAnsi="Arial" w:cs="Arial"/>
          <w:sz w:val="22"/>
          <w:szCs w:val="22"/>
        </w:rPr>
        <w:t>. No obstante</w:t>
      </w:r>
      <w:r w:rsidRPr="00A470A7">
        <w:rPr>
          <w:rFonts w:ascii="Arial" w:eastAsia="Arial" w:hAnsi="Arial" w:cs="Arial"/>
          <w:sz w:val="22"/>
          <w:szCs w:val="22"/>
        </w:rPr>
        <w:t xml:space="preserve">, queda un largo recorrido </w:t>
      </w:r>
      <w:r w:rsidR="00A470A7" w:rsidRPr="00A470A7">
        <w:rPr>
          <w:rFonts w:ascii="Arial" w:eastAsia="Arial" w:hAnsi="Arial" w:cs="Arial"/>
          <w:sz w:val="22"/>
          <w:szCs w:val="22"/>
        </w:rPr>
        <w:t xml:space="preserve">que comienza, necesariamente, con </w:t>
      </w:r>
      <w:r w:rsidRPr="00A470A7">
        <w:rPr>
          <w:rFonts w:ascii="Arial" w:eastAsia="Arial" w:hAnsi="Arial" w:cs="Arial"/>
          <w:sz w:val="22"/>
          <w:szCs w:val="22"/>
        </w:rPr>
        <w:t>garantizar que estén plenamente representadas en los procesos de selección para acceder a los puestos de trabajo emergentes.</w:t>
      </w:r>
    </w:p>
    <w:p w14:paraId="2249E4A3" w14:textId="79BF0773" w:rsidR="00A16AE4" w:rsidRPr="00A470A7" w:rsidRDefault="00A16AE4" w:rsidP="00C03214">
      <w:pPr>
        <w:pStyle w:val="Prrafodelista"/>
        <w:numPr>
          <w:ilvl w:val="0"/>
          <w:numId w:val="8"/>
        </w:numPr>
        <w:spacing w:before="120" w:line="288" w:lineRule="auto"/>
        <w:ind w:left="714" w:hanging="357"/>
        <w:contextualSpacing w:val="0"/>
        <w:jc w:val="both"/>
        <w:rPr>
          <w:rFonts w:ascii="Arial" w:eastAsia="Arial" w:hAnsi="Arial" w:cs="Arial"/>
          <w:sz w:val="22"/>
          <w:szCs w:val="22"/>
        </w:rPr>
      </w:pPr>
      <w:r w:rsidRPr="00A470A7">
        <w:rPr>
          <w:rFonts w:ascii="Arial" w:eastAsia="Arial" w:hAnsi="Arial" w:cs="Arial"/>
          <w:b/>
          <w:bCs/>
          <w:sz w:val="22"/>
          <w:szCs w:val="22"/>
        </w:rPr>
        <w:t>Diversidad, igualdad e inclusión</w:t>
      </w:r>
      <w:r w:rsidR="00A470A7" w:rsidRPr="00A470A7">
        <w:rPr>
          <w:rFonts w:ascii="Arial" w:eastAsia="Arial" w:hAnsi="Arial" w:cs="Arial"/>
          <w:b/>
          <w:bCs/>
          <w:sz w:val="22"/>
          <w:szCs w:val="22"/>
        </w:rPr>
        <w:t xml:space="preserve"> </w:t>
      </w:r>
      <w:r w:rsidRPr="00A470A7">
        <w:rPr>
          <w:rFonts w:ascii="Arial" w:eastAsia="Arial" w:hAnsi="Arial" w:cs="Arial"/>
          <w:b/>
          <w:bCs/>
          <w:sz w:val="22"/>
          <w:szCs w:val="22"/>
        </w:rPr>
        <w:t xml:space="preserve">para la competitividad: </w:t>
      </w:r>
      <w:r w:rsidRPr="00A470A7">
        <w:rPr>
          <w:rFonts w:ascii="Arial" w:eastAsia="Arial" w:hAnsi="Arial" w:cs="Arial"/>
          <w:sz w:val="22"/>
          <w:szCs w:val="22"/>
        </w:rPr>
        <w:t>las compañías con niveles más altos de diversidad tienen un 39% más de opciones de mejorar los resultados de sus competidores menos diversos. Por ello, fomentar la diversidad, igualdad e inclusión se ha convertido en una estrategia crítica de negocio.</w:t>
      </w:r>
    </w:p>
    <w:p w14:paraId="07D511C4" w14:textId="478EB75B" w:rsidR="00A16AE4" w:rsidRPr="00A470A7" w:rsidRDefault="00A470A7" w:rsidP="00C03214">
      <w:pPr>
        <w:pStyle w:val="Prrafodelista"/>
        <w:numPr>
          <w:ilvl w:val="0"/>
          <w:numId w:val="8"/>
        </w:numPr>
        <w:spacing w:before="120" w:line="288" w:lineRule="auto"/>
        <w:ind w:left="714" w:hanging="357"/>
        <w:contextualSpacing w:val="0"/>
        <w:jc w:val="both"/>
        <w:rPr>
          <w:rFonts w:ascii="Arial" w:eastAsia="Arial" w:hAnsi="Arial" w:cs="Arial"/>
          <w:sz w:val="22"/>
          <w:szCs w:val="22"/>
        </w:rPr>
      </w:pPr>
      <w:r w:rsidRPr="00A470A7">
        <w:rPr>
          <w:rFonts w:ascii="Arial" w:eastAsia="Arial" w:hAnsi="Arial" w:cs="Arial"/>
          <w:b/>
          <w:bCs/>
          <w:sz w:val="22"/>
          <w:szCs w:val="22"/>
        </w:rPr>
        <w:t>Un n</w:t>
      </w:r>
      <w:r w:rsidR="00A16AE4" w:rsidRPr="00A470A7">
        <w:rPr>
          <w:rFonts w:ascii="Arial" w:eastAsia="Arial" w:hAnsi="Arial" w:cs="Arial"/>
          <w:b/>
          <w:bCs/>
          <w:sz w:val="22"/>
          <w:szCs w:val="22"/>
        </w:rPr>
        <w:t xml:space="preserve">uevo enfoque en los procesos de selección de profesionales: </w:t>
      </w:r>
      <w:r w:rsidR="00A16AE4" w:rsidRPr="00A470A7">
        <w:rPr>
          <w:rFonts w:ascii="Arial" w:eastAsia="Arial" w:hAnsi="Arial" w:cs="Arial"/>
          <w:sz w:val="22"/>
          <w:szCs w:val="22"/>
        </w:rPr>
        <w:t xml:space="preserve">8 de cada 10 </w:t>
      </w:r>
      <w:r w:rsidRPr="00A470A7">
        <w:rPr>
          <w:rFonts w:ascii="Arial" w:eastAsia="Arial" w:hAnsi="Arial" w:cs="Arial"/>
          <w:sz w:val="22"/>
          <w:szCs w:val="22"/>
        </w:rPr>
        <w:t xml:space="preserve">empresas </w:t>
      </w:r>
      <w:r w:rsidR="00A16AE4" w:rsidRPr="00A470A7">
        <w:rPr>
          <w:rFonts w:ascii="Arial" w:eastAsia="Arial" w:hAnsi="Arial" w:cs="Arial"/>
          <w:sz w:val="22"/>
          <w:szCs w:val="22"/>
        </w:rPr>
        <w:t xml:space="preserve">tienen problemas para encontrar </w:t>
      </w:r>
      <w:r w:rsidRPr="00A470A7">
        <w:rPr>
          <w:rFonts w:ascii="Arial" w:eastAsia="Arial" w:hAnsi="Arial" w:cs="Arial"/>
          <w:sz w:val="22"/>
          <w:szCs w:val="22"/>
        </w:rPr>
        <w:t xml:space="preserve">a </w:t>
      </w:r>
      <w:r w:rsidR="00A16AE4" w:rsidRPr="00A470A7">
        <w:rPr>
          <w:rFonts w:ascii="Arial" w:eastAsia="Arial" w:hAnsi="Arial" w:cs="Arial"/>
          <w:sz w:val="22"/>
          <w:szCs w:val="22"/>
        </w:rPr>
        <w:t xml:space="preserve">los perfiles que necesitan, </w:t>
      </w:r>
      <w:r w:rsidRPr="00A470A7">
        <w:rPr>
          <w:rFonts w:ascii="Arial" w:eastAsia="Arial" w:hAnsi="Arial" w:cs="Arial"/>
          <w:sz w:val="22"/>
          <w:szCs w:val="22"/>
        </w:rPr>
        <w:t xml:space="preserve">lo que </w:t>
      </w:r>
      <w:r w:rsidR="00A16AE4" w:rsidRPr="00A470A7">
        <w:rPr>
          <w:rFonts w:ascii="Arial" w:eastAsia="Arial" w:hAnsi="Arial" w:cs="Arial"/>
          <w:sz w:val="22"/>
          <w:szCs w:val="22"/>
        </w:rPr>
        <w:t>hace necesario repensar e innovar en los procesos de selección de profesionales. Ahora, comienzan a ser globales y a valorar el talento migrante para cerrar la creciente brecha de habilidades.</w:t>
      </w:r>
    </w:p>
    <w:p w14:paraId="141749CC" w14:textId="77777777" w:rsidR="00A16AE4" w:rsidRPr="00A470A7" w:rsidRDefault="00A16AE4" w:rsidP="00C03214">
      <w:pPr>
        <w:pStyle w:val="NormalWeb"/>
        <w:shd w:val="clear" w:color="auto" w:fill="FFFFFF"/>
        <w:spacing w:before="120" w:beforeAutospacing="0" w:after="0" w:afterAutospacing="0" w:line="288" w:lineRule="auto"/>
        <w:jc w:val="both"/>
        <w:rPr>
          <w:rFonts w:ascii="Arial" w:eastAsia="Arial" w:hAnsi="Arial" w:cs="Arial"/>
          <w:b/>
          <w:sz w:val="22"/>
          <w:szCs w:val="22"/>
        </w:rPr>
      </w:pPr>
      <w:r w:rsidRPr="00A470A7">
        <w:rPr>
          <w:rFonts w:ascii="Arial" w:eastAsia="Arial" w:hAnsi="Arial" w:cs="Arial"/>
          <w:b/>
          <w:sz w:val="22"/>
          <w:szCs w:val="22"/>
        </w:rPr>
        <w:t>2. Avances tecnológicos</w:t>
      </w:r>
    </w:p>
    <w:p w14:paraId="5C76D66C" w14:textId="09C21E74" w:rsidR="00A16AE4" w:rsidRPr="00A470A7" w:rsidRDefault="00A16AE4" w:rsidP="00C03214">
      <w:pPr>
        <w:pStyle w:val="Prrafodelista"/>
        <w:numPr>
          <w:ilvl w:val="0"/>
          <w:numId w:val="9"/>
        </w:numPr>
        <w:shd w:val="clear" w:color="auto" w:fill="FFFFFF"/>
        <w:spacing w:before="120" w:line="288" w:lineRule="auto"/>
        <w:contextualSpacing w:val="0"/>
        <w:jc w:val="both"/>
        <w:rPr>
          <w:rFonts w:ascii="Arial" w:eastAsia="Arial" w:hAnsi="Arial" w:cs="Arial"/>
          <w:b/>
          <w:sz w:val="22"/>
          <w:szCs w:val="22"/>
        </w:rPr>
      </w:pPr>
      <w:r w:rsidRPr="00A470A7">
        <w:rPr>
          <w:rFonts w:ascii="Arial" w:eastAsia="Arial" w:hAnsi="Arial" w:cs="Arial"/>
          <w:b/>
          <w:sz w:val="22"/>
          <w:szCs w:val="22"/>
        </w:rPr>
        <w:t xml:space="preserve">Las personas </w:t>
      </w:r>
      <w:r w:rsidR="00A470A7" w:rsidRPr="00A470A7">
        <w:rPr>
          <w:rFonts w:ascii="Arial" w:eastAsia="Arial" w:hAnsi="Arial" w:cs="Arial"/>
          <w:b/>
          <w:sz w:val="22"/>
          <w:szCs w:val="22"/>
        </w:rPr>
        <w:t xml:space="preserve">deben dar forma a un uso responsable de </w:t>
      </w:r>
      <w:r w:rsidRPr="00A470A7">
        <w:rPr>
          <w:rFonts w:ascii="Arial" w:eastAsia="Arial" w:hAnsi="Arial" w:cs="Arial"/>
          <w:b/>
          <w:sz w:val="22"/>
          <w:szCs w:val="22"/>
        </w:rPr>
        <w:t xml:space="preserve">la </w:t>
      </w:r>
      <w:r w:rsidR="00A470A7" w:rsidRPr="00A470A7">
        <w:rPr>
          <w:rFonts w:ascii="Arial" w:eastAsia="Arial" w:hAnsi="Arial" w:cs="Arial"/>
          <w:b/>
          <w:sz w:val="22"/>
          <w:szCs w:val="22"/>
        </w:rPr>
        <w:t>inteligencia artificial</w:t>
      </w:r>
      <w:r w:rsidRPr="00A470A7">
        <w:rPr>
          <w:rFonts w:ascii="Arial" w:eastAsia="Arial" w:hAnsi="Arial" w:cs="Arial"/>
          <w:b/>
          <w:sz w:val="22"/>
          <w:szCs w:val="22"/>
        </w:rPr>
        <w:t xml:space="preserve">: </w:t>
      </w:r>
      <w:r w:rsidRPr="00A470A7">
        <w:rPr>
          <w:rFonts w:ascii="Arial" w:eastAsia="Arial" w:hAnsi="Arial" w:cs="Arial"/>
          <w:bCs/>
          <w:sz w:val="22"/>
          <w:szCs w:val="22"/>
        </w:rPr>
        <w:t>el auge de la IA ya está transformando el mercado del empleo. El enfoque humano para el desarrollo de esta tecnología es esencial tanto para el diseño y la implementación de los sistemas, como para tener en cuenta las necesidades, habilidades, destrezas y bienestar de los profesionales.</w:t>
      </w:r>
    </w:p>
    <w:p w14:paraId="560CD9BB" w14:textId="3D383D4E" w:rsidR="00A16AE4" w:rsidRPr="00A470A7" w:rsidRDefault="00A16AE4" w:rsidP="00C03214">
      <w:pPr>
        <w:pStyle w:val="Prrafodelista"/>
        <w:numPr>
          <w:ilvl w:val="0"/>
          <w:numId w:val="9"/>
        </w:numPr>
        <w:shd w:val="clear" w:color="auto" w:fill="FFFFFF"/>
        <w:spacing w:before="120" w:line="288" w:lineRule="auto"/>
        <w:contextualSpacing w:val="0"/>
        <w:jc w:val="both"/>
        <w:rPr>
          <w:rFonts w:ascii="Arial" w:eastAsia="Arial" w:hAnsi="Arial" w:cs="Arial"/>
          <w:b/>
          <w:sz w:val="22"/>
          <w:szCs w:val="22"/>
        </w:rPr>
      </w:pPr>
      <w:r w:rsidRPr="00A470A7">
        <w:rPr>
          <w:rFonts w:ascii="Arial" w:eastAsia="Arial" w:hAnsi="Arial" w:cs="Arial"/>
          <w:b/>
          <w:bCs/>
          <w:sz w:val="22"/>
          <w:szCs w:val="22"/>
        </w:rPr>
        <w:t xml:space="preserve">La IA, catalizadora de empleo: </w:t>
      </w:r>
      <w:r w:rsidRPr="00A470A7">
        <w:rPr>
          <w:rFonts w:ascii="Arial" w:eastAsia="Arial" w:hAnsi="Arial" w:cs="Arial"/>
          <w:sz w:val="22"/>
          <w:szCs w:val="22"/>
        </w:rPr>
        <w:t xml:space="preserve">el 71% de las organizaciones están usando o planean utilizar IA conversacional en sus procesos de selección. Esta tecnología supone una oportunidad </w:t>
      </w:r>
      <w:r w:rsidR="00A470A7" w:rsidRPr="00A470A7">
        <w:rPr>
          <w:rFonts w:ascii="Arial" w:eastAsia="Arial" w:hAnsi="Arial" w:cs="Arial"/>
          <w:sz w:val="22"/>
          <w:szCs w:val="22"/>
        </w:rPr>
        <w:t xml:space="preserve">para </w:t>
      </w:r>
      <w:r w:rsidRPr="00A470A7">
        <w:rPr>
          <w:rFonts w:ascii="Arial" w:eastAsia="Arial" w:hAnsi="Arial" w:cs="Arial"/>
          <w:sz w:val="22"/>
          <w:szCs w:val="22"/>
        </w:rPr>
        <w:t>aumentar los conocimientos técnicos y capacidades de los profesionales. Así, en la medida que las empresas aprendan a evolucionar junto con la IA, las personas impulsarán el futuro del empleo.</w:t>
      </w:r>
    </w:p>
    <w:p w14:paraId="4609B55F" w14:textId="77777777" w:rsidR="00A16AE4" w:rsidRPr="00A470A7" w:rsidRDefault="00A16AE4" w:rsidP="00C03214">
      <w:pPr>
        <w:pStyle w:val="Prrafodelista"/>
        <w:numPr>
          <w:ilvl w:val="0"/>
          <w:numId w:val="9"/>
        </w:numPr>
        <w:shd w:val="clear" w:color="auto" w:fill="FFFFFF"/>
        <w:spacing w:before="120" w:line="288" w:lineRule="auto"/>
        <w:contextualSpacing w:val="0"/>
        <w:jc w:val="both"/>
        <w:rPr>
          <w:rFonts w:ascii="Arial" w:eastAsia="Arial" w:hAnsi="Arial" w:cs="Arial"/>
          <w:b/>
          <w:sz w:val="22"/>
          <w:szCs w:val="22"/>
        </w:rPr>
      </w:pPr>
      <w:r w:rsidRPr="00A470A7">
        <w:rPr>
          <w:rFonts w:ascii="Arial" w:eastAsia="Arial" w:hAnsi="Arial" w:cs="Arial"/>
          <w:b/>
          <w:sz w:val="22"/>
          <w:szCs w:val="22"/>
        </w:rPr>
        <w:lastRenderedPageBreak/>
        <w:t xml:space="preserve">Factores impulsores de productividad: </w:t>
      </w:r>
      <w:r w:rsidRPr="00A470A7">
        <w:rPr>
          <w:rFonts w:ascii="Arial" w:eastAsia="Arial" w:hAnsi="Arial" w:cs="Arial"/>
          <w:bCs/>
          <w:sz w:val="22"/>
          <w:szCs w:val="22"/>
        </w:rPr>
        <w:t>el desarrollo profesional (40%), contar con metas y objetivos claros (37%), una cultura corporativa positiva (36%), la eficiencia tecnológica (24%), la comunicación y colaboración (22%) y la adopción de tecnología (20%) son, para las empresas, los impulsores de productividad más importantes, por delante de la colaboración en persona (19%).</w:t>
      </w:r>
    </w:p>
    <w:p w14:paraId="7D7FE090" w14:textId="77777777" w:rsidR="00A16AE4" w:rsidRPr="00A470A7" w:rsidRDefault="00A16AE4" w:rsidP="00C03214">
      <w:pPr>
        <w:pStyle w:val="NormalWeb"/>
        <w:shd w:val="clear" w:color="auto" w:fill="FFFFFF"/>
        <w:spacing w:before="120" w:beforeAutospacing="0" w:after="0" w:afterAutospacing="0" w:line="288" w:lineRule="auto"/>
        <w:jc w:val="both"/>
        <w:rPr>
          <w:rFonts w:ascii="Arial" w:eastAsia="Arial" w:hAnsi="Arial" w:cs="Arial"/>
          <w:b/>
          <w:sz w:val="22"/>
          <w:szCs w:val="22"/>
        </w:rPr>
      </w:pPr>
      <w:r w:rsidRPr="00A470A7">
        <w:rPr>
          <w:rFonts w:ascii="Arial" w:eastAsia="Arial" w:hAnsi="Arial" w:cs="Arial"/>
          <w:b/>
          <w:sz w:val="22"/>
          <w:szCs w:val="22"/>
        </w:rPr>
        <w:t>3. Motores de competitividad</w:t>
      </w:r>
    </w:p>
    <w:p w14:paraId="2DD6F976" w14:textId="1A27BB68" w:rsidR="00A16AE4" w:rsidRPr="00A470A7" w:rsidRDefault="00A16AE4" w:rsidP="00C03214">
      <w:pPr>
        <w:pStyle w:val="Prrafodelista"/>
        <w:numPr>
          <w:ilvl w:val="0"/>
          <w:numId w:val="10"/>
        </w:numPr>
        <w:shd w:val="clear" w:color="auto" w:fill="FFFFFF"/>
        <w:spacing w:before="120" w:line="288" w:lineRule="auto"/>
        <w:contextualSpacing w:val="0"/>
        <w:jc w:val="both"/>
        <w:rPr>
          <w:rFonts w:ascii="Arial" w:eastAsia="Arial" w:hAnsi="Arial" w:cs="Arial"/>
          <w:bCs/>
          <w:color w:val="000000" w:themeColor="text1"/>
          <w:sz w:val="22"/>
          <w:szCs w:val="22"/>
        </w:rPr>
      </w:pPr>
      <w:r w:rsidRPr="00A470A7">
        <w:rPr>
          <w:rFonts w:ascii="Arial" w:eastAsia="Arial" w:hAnsi="Arial" w:cs="Arial"/>
          <w:b/>
          <w:sz w:val="22"/>
          <w:szCs w:val="22"/>
        </w:rPr>
        <w:t xml:space="preserve">Transición </w:t>
      </w:r>
      <w:r w:rsidRPr="00A470A7">
        <w:rPr>
          <w:rFonts w:ascii="Arial" w:eastAsia="Arial" w:hAnsi="Arial" w:cs="Arial"/>
          <w:b/>
          <w:color w:val="000000" w:themeColor="text1"/>
          <w:sz w:val="22"/>
          <w:szCs w:val="22"/>
        </w:rPr>
        <w:t>verde:</w:t>
      </w:r>
      <w:r w:rsidR="00A470A7" w:rsidRPr="00A470A7">
        <w:rPr>
          <w:rFonts w:ascii="Arial" w:hAnsi="Arial" w:cs="Arial"/>
          <w:bCs/>
          <w:color w:val="000000" w:themeColor="text1"/>
          <w:kern w:val="24"/>
          <w:sz w:val="28"/>
          <w:szCs w:val="28"/>
        </w:rPr>
        <w:t xml:space="preserve"> </w:t>
      </w:r>
      <w:r w:rsidRPr="00A470A7">
        <w:rPr>
          <w:rFonts w:ascii="Arial" w:eastAsia="Arial" w:hAnsi="Arial" w:cs="Arial"/>
          <w:bCs/>
          <w:color w:val="000000" w:themeColor="text1"/>
          <w:sz w:val="22"/>
          <w:szCs w:val="22"/>
        </w:rPr>
        <w:t>el</w:t>
      </w:r>
      <w:r w:rsidRPr="00A470A7">
        <w:rPr>
          <w:rFonts w:ascii="Arial" w:eastAsia="Arial" w:hAnsi="Arial" w:cs="Arial"/>
          <w:b/>
          <w:color w:val="000000" w:themeColor="text1"/>
          <w:sz w:val="22"/>
          <w:szCs w:val="22"/>
        </w:rPr>
        <w:t xml:space="preserve"> </w:t>
      </w:r>
      <w:r w:rsidRPr="00A470A7">
        <w:rPr>
          <w:rFonts w:ascii="Arial" w:eastAsia="Arial" w:hAnsi="Arial" w:cs="Arial"/>
          <w:bCs/>
          <w:color w:val="000000" w:themeColor="text1"/>
          <w:sz w:val="22"/>
          <w:szCs w:val="22"/>
        </w:rPr>
        <w:t>avance de la transición verde continúa y el impacto en la sociedad y en los resultados de las empresas está cobrando protagonismo. La transición verde de la actividad económica será el primer motor de creación de empleo a nivel mundial en los próximos cinco años, generando 30 millones de nuevos empleos en todo el mundo para 2030.</w:t>
      </w:r>
    </w:p>
    <w:p w14:paraId="2B2CF52A" w14:textId="4B55EAB7" w:rsidR="00A16AE4" w:rsidRPr="00A470A7" w:rsidRDefault="00FD476E" w:rsidP="00C03214">
      <w:pPr>
        <w:pStyle w:val="Prrafodelista"/>
        <w:numPr>
          <w:ilvl w:val="0"/>
          <w:numId w:val="10"/>
        </w:numPr>
        <w:shd w:val="clear" w:color="auto" w:fill="FFFFFF"/>
        <w:spacing w:before="120" w:line="288" w:lineRule="auto"/>
        <w:contextualSpacing w:val="0"/>
        <w:jc w:val="both"/>
        <w:rPr>
          <w:rFonts w:ascii="Arial" w:eastAsia="Arial" w:hAnsi="Arial" w:cs="Arial"/>
          <w:bCs/>
          <w:sz w:val="22"/>
          <w:szCs w:val="22"/>
        </w:rPr>
      </w:pPr>
      <w:r>
        <w:rPr>
          <w:rFonts w:ascii="Arial" w:eastAsia="Arial" w:hAnsi="Arial" w:cs="Arial"/>
          <w:b/>
          <w:sz w:val="22"/>
          <w:szCs w:val="22"/>
        </w:rPr>
        <w:t>Líderes preparados</w:t>
      </w:r>
      <w:r w:rsidR="00A16AE4" w:rsidRPr="00A470A7">
        <w:rPr>
          <w:rFonts w:ascii="Arial" w:eastAsia="Arial" w:hAnsi="Arial" w:cs="Arial"/>
          <w:b/>
          <w:sz w:val="22"/>
          <w:szCs w:val="22"/>
        </w:rPr>
        <w:t xml:space="preserve">: </w:t>
      </w:r>
      <w:r w:rsidR="00A16AE4" w:rsidRPr="00A470A7">
        <w:rPr>
          <w:rFonts w:ascii="Arial" w:eastAsia="Arial" w:hAnsi="Arial" w:cs="Arial"/>
          <w:bCs/>
          <w:sz w:val="22"/>
          <w:szCs w:val="22"/>
        </w:rPr>
        <w:t>con la IA, la automatización y la sostenibilidad en mente, la responsabilidad de guiar una transformación que dé prioridad a las personas recae en estos perfiles. Los directivos deben motivar a sus equipos y, a la vez, dispersar los temores relacionados con la irrupción de estas nuevas tecnologías y su impacto.</w:t>
      </w:r>
    </w:p>
    <w:p w14:paraId="76C6292A" w14:textId="34BE6021" w:rsidR="00A16AE4" w:rsidRPr="00A470A7" w:rsidRDefault="00FD476E" w:rsidP="00C03214">
      <w:pPr>
        <w:pStyle w:val="Prrafodelista"/>
        <w:numPr>
          <w:ilvl w:val="0"/>
          <w:numId w:val="10"/>
        </w:numPr>
        <w:shd w:val="clear" w:color="auto" w:fill="FFFFFF"/>
        <w:spacing w:before="120" w:line="288" w:lineRule="auto"/>
        <w:contextualSpacing w:val="0"/>
        <w:jc w:val="both"/>
        <w:rPr>
          <w:rFonts w:ascii="Arial" w:eastAsia="Arial" w:hAnsi="Arial" w:cs="Arial"/>
          <w:bCs/>
          <w:sz w:val="22"/>
          <w:szCs w:val="22"/>
        </w:rPr>
      </w:pPr>
      <w:r>
        <w:rPr>
          <w:rFonts w:ascii="Arial" w:eastAsia="Arial" w:hAnsi="Arial" w:cs="Arial"/>
          <w:b/>
          <w:sz w:val="22"/>
          <w:szCs w:val="22"/>
        </w:rPr>
        <w:t>Reorganización de las cadenas de suministros</w:t>
      </w:r>
      <w:r w:rsidR="00A16AE4" w:rsidRPr="00A470A7">
        <w:rPr>
          <w:rFonts w:ascii="Arial" w:eastAsia="Arial" w:hAnsi="Arial" w:cs="Arial"/>
          <w:b/>
          <w:sz w:val="22"/>
          <w:szCs w:val="22"/>
        </w:rPr>
        <w:t>:</w:t>
      </w:r>
      <w:r w:rsidR="00A16AE4" w:rsidRPr="00A470A7">
        <w:rPr>
          <w:rFonts w:ascii="Arial" w:eastAsia="Arial" w:hAnsi="Arial" w:cs="Arial"/>
          <w:bCs/>
          <w:sz w:val="22"/>
          <w:szCs w:val="22"/>
        </w:rPr>
        <w:t xml:space="preserve"> </w:t>
      </w:r>
      <w:r>
        <w:rPr>
          <w:rFonts w:ascii="Arial" w:eastAsia="Arial" w:hAnsi="Arial" w:cs="Arial"/>
          <w:bCs/>
          <w:sz w:val="22"/>
          <w:szCs w:val="22"/>
        </w:rPr>
        <w:t xml:space="preserve">con una creciente incertidumbre y conflictos bélicos con impacto internacional, </w:t>
      </w:r>
      <w:r w:rsidR="00A16AE4" w:rsidRPr="00A470A7">
        <w:rPr>
          <w:rFonts w:ascii="Arial" w:eastAsia="Arial" w:hAnsi="Arial" w:cs="Arial"/>
          <w:bCs/>
          <w:sz w:val="22"/>
          <w:szCs w:val="22"/>
        </w:rPr>
        <w:t>para hacer frente a las vulnerabilidades en las cadenas de suministro globales e incrementar su resiliencia, muchas empresas optan por</w:t>
      </w:r>
      <w:r w:rsidR="00A16AE4" w:rsidRPr="00A470A7">
        <w:rPr>
          <w:rFonts w:ascii="Arial" w:hAnsi="Arial" w:cs="Arial"/>
        </w:rPr>
        <w:t xml:space="preserve"> </w:t>
      </w:r>
      <w:r w:rsidR="00A16AE4" w:rsidRPr="00A470A7">
        <w:rPr>
          <w:rFonts w:ascii="Arial" w:eastAsia="Arial" w:hAnsi="Arial" w:cs="Arial"/>
          <w:bCs/>
          <w:sz w:val="22"/>
          <w:szCs w:val="22"/>
        </w:rPr>
        <w:t xml:space="preserve">la creación de diversas redes de proveedores y </w:t>
      </w:r>
      <w:r>
        <w:rPr>
          <w:rFonts w:ascii="Arial" w:eastAsia="Arial" w:hAnsi="Arial" w:cs="Arial"/>
          <w:bCs/>
          <w:sz w:val="22"/>
          <w:szCs w:val="22"/>
        </w:rPr>
        <w:t xml:space="preserve">de </w:t>
      </w:r>
      <w:r w:rsidR="00A16AE4" w:rsidRPr="00A470A7">
        <w:rPr>
          <w:rFonts w:ascii="Arial" w:eastAsia="Arial" w:hAnsi="Arial" w:cs="Arial"/>
          <w:bCs/>
          <w:sz w:val="22"/>
          <w:szCs w:val="22"/>
        </w:rPr>
        <w:t>acceso al talento.</w:t>
      </w:r>
    </w:p>
    <w:p w14:paraId="2B263974" w14:textId="067A9008" w:rsidR="00A16AE4" w:rsidRPr="00A470A7" w:rsidRDefault="00A16AE4" w:rsidP="00C03214">
      <w:pPr>
        <w:pStyle w:val="Prrafodelista"/>
        <w:numPr>
          <w:ilvl w:val="0"/>
          <w:numId w:val="10"/>
        </w:numPr>
        <w:shd w:val="clear" w:color="auto" w:fill="FFFFFF"/>
        <w:spacing w:before="120" w:line="288" w:lineRule="auto"/>
        <w:contextualSpacing w:val="0"/>
        <w:jc w:val="both"/>
        <w:rPr>
          <w:rFonts w:ascii="Arial" w:eastAsia="Arial" w:hAnsi="Arial" w:cs="Arial"/>
          <w:b/>
          <w:sz w:val="22"/>
          <w:szCs w:val="22"/>
        </w:rPr>
      </w:pPr>
      <w:r w:rsidRPr="00A470A7">
        <w:rPr>
          <w:rFonts w:ascii="Arial" w:eastAsia="Arial" w:hAnsi="Arial" w:cs="Arial"/>
          <w:b/>
          <w:sz w:val="22"/>
          <w:szCs w:val="22"/>
        </w:rPr>
        <w:t>Equilibrio en los salarios:</w:t>
      </w:r>
      <w:r w:rsidRPr="00A470A7">
        <w:rPr>
          <w:rFonts w:ascii="Arial" w:eastAsia="Arial" w:hAnsi="Arial" w:cs="Arial"/>
          <w:bCs/>
          <w:sz w:val="22"/>
          <w:szCs w:val="22"/>
        </w:rPr>
        <w:t xml:space="preserve"> un salario justo es el principal motor de la productividad. Sin embargo, la incertidumbre económica actual aleja a casi una cuarta parte de los trabajadores (23%) del empleo que desean.</w:t>
      </w:r>
    </w:p>
    <w:p w14:paraId="7476E118" w14:textId="77777777" w:rsidR="00A16AE4" w:rsidRPr="00A470A7" w:rsidRDefault="00A16AE4" w:rsidP="00C03214">
      <w:pPr>
        <w:shd w:val="clear" w:color="auto" w:fill="FFFFFF"/>
        <w:spacing w:before="120" w:line="288" w:lineRule="auto"/>
        <w:jc w:val="both"/>
        <w:rPr>
          <w:rFonts w:ascii="Arial" w:eastAsia="Arial" w:hAnsi="Arial" w:cs="Arial"/>
          <w:b/>
          <w:sz w:val="22"/>
          <w:szCs w:val="22"/>
        </w:rPr>
      </w:pPr>
      <w:r w:rsidRPr="00A470A7">
        <w:rPr>
          <w:rFonts w:ascii="Arial" w:eastAsia="Arial" w:hAnsi="Arial" w:cs="Arial"/>
          <w:b/>
          <w:sz w:val="22"/>
          <w:szCs w:val="22"/>
        </w:rPr>
        <w:t>4. Preferencias individuales</w:t>
      </w:r>
    </w:p>
    <w:p w14:paraId="0FA63A47" w14:textId="563E5396" w:rsidR="00A16AE4" w:rsidRPr="00A470A7" w:rsidRDefault="00323633" w:rsidP="00C03214">
      <w:pPr>
        <w:pStyle w:val="Prrafodelista"/>
        <w:numPr>
          <w:ilvl w:val="0"/>
          <w:numId w:val="10"/>
        </w:numPr>
        <w:shd w:val="clear" w:color="auto" w:fill="FFFFFF"/>
        <w:spacing w:before="120" w:line="288" w:lineRule="auto"/>
        <w:contextualSpacing w:val="0"/>
        <w:jc w:val="both"/>
        <w:rPr>
          <w:rFonts w:ascii="Arial" w:eastAsia="Arial" w:hAnsi="Arial" w:cs="Arial"/>
          <w:bCs/>
          <w:sz w:val="22"/>
          <w:szCs w:val="22"/>
        </w:rPr>
      </w:pPr>
      <w:r>
        <w:rPr>
          <w:rFonts w:ascii="Arial" w:eastAsia="Arial" w:hAnsi="Arial" w:cs="Arial"/>
          <w:b/>
          <w:sz w:val="22"/>
          <w:szCs w:val="22"/>
        </w:rPr>
        <w:t>La ‘consumerización’ del empleo</w:t>
      </w:r>
      <w:r w:rsidR="00A16AE4" w:rsidRPr="00A470A7">
        <w:rPr>
          <w:rFonts w:ascii="Arial" w:eastAsia="Arial" w:hAnsi="Arial" w:cs="Arial"/>
          <w:b/>
          <w:sz w:val="22"/>
          <w:szCs w:val="22"/>
        </w:rPr>
        <w:t xml:space="preserve">: </w:t>
      </w:r>
      <w:r w:rsidR="00A16AE4" w:rsidRPr="00A470A7">
        <w:rPr>
          <w:rFonts w:ascii="Arial" w:eastAsia="Arial" w:hAnsi="Arial" w:cs="Arial"/>
          <w:bCs/>
          <w:sz w:val="22"/>
          <w:szCs w:val="22"/>
        </w:rPr>
        <w:t xml:space="preserve">la flexibilidad, la autonomía y la conciliación con la vida personal son los beneficios más demandados por los profesionales, como lo es la semana laboral de cuatro días (64%), la posibilidad de elegir sus horas de inicio y finalización (45%) y la flexibilidad para trabajar desde casa si es necesario (35%). </w:t>
      </w:r>
    </w:p>
    <w:p w14:paraId="77166046" w14:textId="77777777" w:rsidR="00A16AE4" w:rsidRPr="00A470A7" w:rsidRDefault="00A16AE4" w:rsidP="00C03214">
      <w:pPr>
        <w:pStyle w:val="Prrafodelista"/>
        <w:numPr>
          <w:ilvl w:val="0"/>
          <w:numId w:val="10"/>
        </w:numPr>
        <w:shd w:val="clear" w:color="auto" w:fill="FFFFFF"/>
        <w:spacing w:before="120" w:line="288" w:lineRule="auto"/>
        <w:contextualSpacing w:val="0"/>
        <w:jc w:val="both"/>
        <w:rPr>
          <w:rFonts w:ascii="Arial" w:eastAsia="Arial" w:hAnsi="Arial" w:cs="Arial"/>
          <w:bCs/>
          <w:sz w:val="22"/>
          <w:szCs w:val="22"/>
        </w:rPr>
      </w:pPr>
      <w:r w:rsidRPr="00A470A7">
        <w:rPr>
          <w:rFonts w:ascii="Arial" w:eastAsia="Arial" w:hAnsi="Arial" w:cs="Arial"/>
          <w:b/>
          <w:sz w:val="22"/>
          <w:szCs w:val="22"/>
        </w:rPr>
        <w:t>La Generación Z da forma a la cultura corporativa:</w:t>
      </w:r>
      <w:r w:rsidRPr="00A470A7">
        <w:rPr>
          <w:rFonts w:ascii="Arial" w:eastAsia="Arial" w:hAnsi="Arial" w:cs="Arial"/>
          <w:bCs/>
          <w:sz w:val="22"/>
          <w:szCs w:val="22"/>
        </w:rPr>
        <w:t xml:space="preserve"> esta nueva generación incide de forma directa en la cultura de las organizaciones, a la hora de poner límites entre la vida personal y profesional, la adopción de nuevas tecnologías, compensaciones justas por el trabajo o el activismo empresarial en temas sociales. La salud mental ha pasado a un primer plano, pues solo un 15% de la Generación Z considera que goza de unas condiciones excelentes en ese sentido.</w:t>
      </w:r>
    </w:p>
    <w:p w14:paraId="30785D42" w14:textId="77777777" w:rsidR="00A16AE4" w:rsidRPr="00A470A7" w:rsidRDefault="00A16AE4" w:rsidP="00C03214">
      <w:pPr>
        <w:pStyle w:val="Prrafodelista"/>
        <w:numPr>
          <w:ilvl w:val="0"/>
          <w:numId w:val="10"/>
        </w:numPr>
        <w:shd w:val="clear" w:color="auto" w:fill="FFFFFF"/>
        <w:spacing w:before="120" w:line="288" w:lineRule="auto"/>
        <w:contextualSpacing w:val="0"/>
        <w:jc w:val="both"/>
        <w:rPr>
          <w:rFonts w:ascii="Arial" w:eastAsia="Arial" w:hAnsi="Arial" w:cs="Arial"/>
          <w:bCs/>
          <w:sz w:val="22"/>
          <w:szCs w:val="22"/>
        </w:rPr>
      </w:pPr>
      <w:r w:rsidRPr="00A470A7">
        <w:rPr>
          <w:rFonts w:ascii="Arial" w:eastAsia="Arial" w:hAnsi="Arial" w:cs="Arial"/>
          <w:b/>
          <w:sz w:val="22"/>
          <w:szCs w:val="22"/>
        </w:rPr>
        <w:t xml:space="preserve">Experiencia de empleado a medida: </w:t>
      </w:r>
      <w:r w:rsidRPr="00A470A7">
        <w:rPr>
          <w:rFonts w:ascii="Arial" w:eastAsia="Arial" w:hAnsi="Arial" w:cs="Arial"/>
          <w:bCs/>
          <w:sz w:val="22"/>
          <w:szCs w:val="22"/>
        </w:rPr>
        <w:t>Los empleados esperan y exigen una mayor personalización en todos los aspectos: paquetes de beneficios, formación impulsada por la IA, trayectorias de carrera personalizadas y oportunidades de desarrollo únicas en función de sus fortalezas e intereses personales, entre otras.</w:t>
      </w:r>
    </w:p>
    <w:p w14:paraId="78397A65" w14:textId="77777777" w:rsidR="00A470A7" w:rsidRPr="00A470A7" w:rsidRDefault="00A470A7" w:rsidP="00A470A7">
      <w:pPr>
        <w:shd w:val="clear" w:color="auto" w:fill="FFFFFF"/>
        <w:spacing w:before="120" w:line="288" w:lineRule="auto"/>
        <w:jc w:val="both"/>
        <w:rPr>
          <w:rFonts w:ascii="Arial" w:eastAsia="Arial" w:hAnsi="Arial" w:cs="Arial"/>
          <w:bCs/>
          <w:sz w:val="22"/>
          <w:szCs w:val="22"/>
        </w:rPr>
      </w:pPr>
    </w:p>
    <w:bookmarkEnd w:id="2"/>
    <w:p w14:paraId="149E8253" w14:textId="5158E30F" w:rsidR="00A16AE4" w:rsidRPr="00323633" w:rsidRDefault="005D10BF" w:rsidP="00323633">
      <w:pPr>
        <w:spacing w:line="288" w:lineRule="auto"/>
        <w:rPr>
          <w:rFonts w:ascii="Arial" w:eastAsia="Arial" w:hAnsi="Arial" w:cs="Arial"/>
          <w:b/>
          <w:bCs/>
          <w:color w:val="000000" w:themeColor="text1"/>
          <w:sz w:val="18"/>
          <w:szCs w:val="18"/>
          <w:u w:val="single"/>
        </w:rPr>
      </w:pPr>
      <w:r>
        <w:rPr>
          <w:rFonts w:ascii="Arial" w:eastAsia="Arial" w:hAnsi="Arial" w:cs="Arial"/>
          <w:b/>
          <w:bCs/>
          <w:sz w:val="18"/>
          <w:szCs w:val="18"/>
        </w:rPr>
        <w:lastRenderedPageBreak/>
        <w:t>Puedes descargar</w:t>
      </w:r>
      <w:r w:rsidR="00A16AE4" w:rsidRPr="00323633">
        <w:rPr>
          <w:rFonts w:ascii="Arial" w:eastAsia="Arial" w:hAnsi="Arial" w:cs="Arial"/>
          <w:b/>
          <w:bCs/>
          <w:sz w:val="18"/>
          <w:szCs w:val="18"/>
        </w:rPr>
        <w:t xml:space="preserve"> </w:t>
      </w:r>
      <w:r>
        <w:rPr>
          <w:rFonts w:ascii="Arial" w:eastAsia="Arial" w:hAnsi="Arial" w:cs="Arial"/>
          <w:b/>
          <w:bCs/>
          <w:sz w:val="18"/>
          <w:szCs w:val="18"/>
        </w:rPr>
        <w:t>e</w:t>
      </w:r>
      <w:r w:rsidR="00A16AE4" w:rsidRPr="00323633">
        <w:rPr>
          <w:rFonts w:ascii="Arial" w:eastAsia="Arial" w:hAnsi="Arial" w:cs="Arial"/>
          <w:b/>
          <w:bCs/>
          <w:sz w:val="18"/>
          <w:szCs w:val="18"/>
        </w:rPr>
        <w:t xml:space="preserve">l </w:t>
      </w:r>
      <w:r w:rsidR="00F26D5E" w:rsidRPr="00323633">
        <w:rPr>
          <w:rFonts w:ascii="Arial" w:eastAsia="Arial" w:hAnsi="Arial" w:cs="Arial"/>
          <w:b/>
          <w:bCs/>
          <w:sz w:val="18"/>
          <w:szCs w:val="18"/>
        </w:rPr>
        <w:t xml:space="preserve">informe </w:t>
      </w:r>
      <w:r w:rsidR="00A16AE4" w:rsidRPr="00323633">
        <w:rPr>
          <w:rFonts w:ascii="Arial" w:eastAsia="Arial" w:hAnsi="Arial" w:cs="Arial"/>
          <w:b/>
          <w:bCs/>
          <w:sz w:val="18"/>
          <w:szCs w:val="18"/>
        </w:rPr>
        <w:t>completo de</w:t>
      </w:r>
      <w:r w:rsidR="00A16AE4" w:rsidRPr="00323633">
        <w:rPr>
          <w:rFonts w:ascii="Arial" w:eastAsia="Arial" w:hAnsi="Arial" w:cs="Arial"/>
          <w:sz w:val="18"/>
          <w:szCs w:val="18"/>
        </w:rPr>
        <w:t xml:space="preserve"> </w:t>
      </w:r>
      <w:r w:rsidR="00A16AE4" w:rsidRPr="00323633">
        <w:rPr>
          <w:rFonts w:ascii="Arial" w:eastAsia="Arial" w:hAnsi="Arial" w:cs="Arial"/>
          <w:b/>
          <w:bCs/>
          <w:color w:val="000000" w:themeColor="text1"/>
          <w:sz w:val="18"/>
          <w:szCs w:val="18"/>
        </w:rPr>
        <w:t>“</w:t>
      </w:r>
      <w:r w:rsidR="00323633" w:rsidRPr="00323633">
        <w:rPr>
          <w:rFonts w:ascii="Arial" w:eastAsia="Arial" w:hAnsi="Arial" w:cs="Arial"/>
          <w:b/>
          <w:bCs/>
          <w:color w:val="000000" w:themeColor="text1"/>
          <w:sz w:val="18"/>
          <w:szCs w:val="18"/>
        </w:rPr>
        <w:t>2024, el año de la adaptación</w:t>
      </w:r>
      <w:r w:rsidR="00A16AE4" w:rsidRPr="00323633">
        <w:rPr>
          <w:rFonts w:ascii="Arial" w:eastAsia="Arial" w:hAnsi="Arial" w:cs="Arial"/>
          <w:b/>
          <w:bCs/>
          <w:color w:val="000000" w:themeColor="text1"/>
          <w:sz w:val="18"/>
          <w:szCs w:val="18"/>
        </w:rPr>
        <w:t>”</w:t>
      </w:r>
      <w:r>
        <w:rPr>
          <w:rFonts w:ascii="Arial" w:eastAsia="Arial" w:hAnsi="Arial" w:cs="Arial"/>
          <w:b/>
          <w:bCs/>
          <w:color w:val="000000" w:themeColor="text1"/>
          <w:sz w:val="18"/>
          <w:szCs w:val="18"/>
        </w:rPr>
        <w:t xml:space="preserve"> en</w:t>
      </w:r>
      <w:r w:rsidR="00323633" w:rsidRPr="00323633">
        <w:rPr>
          <w:rFonts w:ascii="Arial" w:eastAsia="Arial" w:hAnsi="Arial" w:cs="Arial"/>
          <w:b/>
          <w:bCs/>
          <w:color w:val="000000" w:themeColor="text1"/>
          <w:sz w:val="18"/>
          <w:szCs w:val="18"/>
        </w:rPr>
        <w:t>:</w:t>
      </w:r>
      <w:r w:rsidR="00323633">
        <w:rPr>
          <w:rFonts w:ascii="Arial" w:eastAsia="Arial" w:hAnsi="Arial" w:cs="Arial"/>
          <w:b/>
          <w:bCs/>
          <w:color w:val="000000" w:themeColor="text1"/>
          <w:sz w:val="18"/>
          <w:szCs w:val="18"/>
        </w:rPr>
        <w:t xml:space="preserve"> </w:t>
      </w:r>
      <w:hyperlink r:id="rId8" w:history="1">
        <w:r w:rsidR="00F26D5E" w:rsidRPr="00F26D5E">
          <w:rPr>
            <w:rStyle w:val="Hipervnculo"/>
            <w:rFonts w:ascii="Arial" w:eastAsia="Arial" w:hAnsi="Arial" w:cs="Arial"/>
            <w:sz w:val="18"/>
            <w:szCs w:val="18"/>
          </w:rPr>
          <w:t>https://www.manpowergroup.es/estudios/the-age-of-adaptability-hacia-un-empleo-moderno-y-sostenible</w:t>
        </w:r>
      </w:hyperlink>
    </w:p>
    <w:bookmarkEnd w:id="3"/>
    <w:bookmarkEnd w:id="4"/>
    <w:bookmarkEnd w:id="5"/>
    <w:bookmarkEnd w:id="6"/>
    <w:p w14:paraId="54670725" w14:textId="77777777" w:rsidR="00BD6CC8" w:rsidRDefault="00BD6CC8" w:rsidP="00FD476E">
      <w:pPr>
        <w:tabs>
          <w:tab w:val="right" w:pos="8838"/>
        </w:tabs>
        <w:autoSpaceDE w:val="0"/>
        <w:autoSpaceDN w:val="0"/>
        <w:adjustRightInd w:val="0"/>
        <w:jc w:val="both"/>
        <w:rPr>
          <w:rFonts w:ascii="Arial" w:hAnsi="Arial" w:cs="Arial"/>
          <w:sz w:val="16"/>
          <w:szCs w:val="16"/>
        </w:rPr>
      </w:pPr>
    </w:p>
    <w:p w14:paraId="677F6F23" w14:textId="77777777" w:rsidR="00FD476E" w:rsidRDefault="00FD476E" w:rsidP="00FD476E">
      <w:pPr>
        <w:tabs>
          <w:tab w:val="right" w:pos="8838"/>
        </w:tabs>
        <w:autoSpaceDE w:val="0"/>
        <w:autoSpaceDN w:val="0"/>
        <w:adjustRightInd w:val="0"/>
        <w:jc w:val="both"/>
        <w:rPr>
          <w:rFonts w:ascii="Arial" w:hAnsi="Arial" w:cs="Arial"/>
          <w:sz w:val="16"/>
          <w:szCs w:val="16"/>
        </w:rPr>
      </w:pPr>
    </w:p>
    <w:p w14:paraId="2D1DCED3" w14:textId="77777777" w:rsidR="00A16AE4" w:rsidRDefault="00A16AE4" w:rsidP="00FD476E">
      <w:pPr>
        <w:tabs>
          <w:tab w:val="right" w:pos="8838"/>
        </w:tabs>
        <w:autoSpaceDE w:val="0"/>
        <w:autoSpaceDN w:val="0"/>
        <w:adjustRightInd w:val="0"/>
        <w:jc w:val="both"/>
        <w:rPr>
          <w:rFonts w:ascii="Arial" w:hAnsi="Arial" w:cs="Arial"/>
          <w:sz w:val="16"/>
          <w:szCs w:val="16"/>
        </w:rPr>
      </w:pPr>
    </w:p>
    <w:p w14:paraId="57C9640A" w14:textId="184DF6AF" w:rsidR="001740C7" w:rsidRPr="00CC188B" w:rsidRDefault="001740C7" w:rsidP="00FD476E">
      <w:pPr>
        <w:jc w:val="both"/>
        <w:rPr>
          <w:rFonts w:ascii="Arial" w:hAnsi="Arial" w:cs="Arial"/>
          <w:sz w:val="16"/>
          <w:szCs w:val="16"/>
        </w:rPr>
      </w:pPr>
      <w:r w:rsidRPr="00CC188B">
        <w:rPr>
          <w:rFonts w:ascii="Arial" w:hAnsi="Arial" w:cs="Arial"/>
          <w:b/>
          <w:bCs/>
          <w:sz w:val="16"/>
          <w:szCs w:val="16"/>
        </w:rPr>
        <w:t>ManpowerGroup</w:t>
      </w:r>
      <w:r w:rsidRPr="00CC188B">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640FB4AA" w14:textId="77777777" w:rsidR="001740C7" w:rsidRPr="00CC188B" w:rsidRDefault="001740C7" w:rsidP="00FD476E">
      <w:pPr>
        <w:jc w:val="both"/>
        <w:rPr>
          <w:rFonts w:ascii="Arial" w:hAnsi="Arial" w:cs="Arial"/>
          <w:sz w:val="16"/>
          <w:szCs w:val="16"/>
        </w:rPr>
      </w:pPr>
      <w:r w:rsidRPr="00CC188B">
        <w:rPr>
          <w:rFonts w:ascii="Arial" w:hAnsi="Arial" w:cs="Arial"/>
          <w:sz w:val="16"/>
          <w:szCs w:val="16"/>
        </w:rPr>
        <w:t xml:space="preserve">Más información en </w:t>
      </w:r>
      <w:hyperlink r:id="rId9" w:history="1">
        <w:r w:rsidRPr="00CC188B">
          <w:rPr>
            <w:rStyle w:val="Hipervnculo"/>
            <w:rFonts w:ascii="Arial" w:hAnsi="Arial" w:cs="Arial"/>
            <w:sz w:val="16"/>
            <w:szCs w:val="16"/>
          </w:rPr>
          <w:t>www.manpowergroup.es</w:t>
        </w:r>
      </w:hyperlink>
      <w:r w:rsidRPr="00CC188B">
        <w:rPr>
          <w:rFonts w:ascii="Arial" w:hAnsi="Arial" w:cs="Arial"/>
          <w:sz w:val="16"/>
          <w:szCs w:val="16"/>
        </w:rPr>
        <w:t>.</w:t>
      </w:r>
    </w:p>
    <w:p w14:paraId="4A498259" w14:textId="011A7C9C" w:rsidR="00493CFD" w:rsidRDefault="00493CFD" w:rsidP="00FD476E">
      <w:pPr>
        <w:tabs>
          <w:tab w:val="right" w:pos="8838"/>
        </w:tabs>
        <w:autoSpaceDE w:val="0"/>
        <w:autoSpaceDN w:val="0"/>
        <w:adjustRightInd w:val="0"/>
        <w:jc w:val="both"/>
        <w:rPr>
          <w:rFonts w:ascii="Arial" w:hAnsi="Arial" w:cs="Arial"/>
          <w:sz w:val="16"/>
          <w:szCs w:val="16"/>
        </w:rPr>
      </w:pPr>
    </w:p>
    <w:p w14:paraId="702B0BD7" w14:textId="598D4B8D" w:rsidR="00493CFD" w:rsidRDefault="00493CFD" w:rsidP="00FD476E">
      <w:pPr>
        <w:tabs>
          <w:tab w:val="right" w:pos="8838"/>
        </w:tabs>
        <w:autoSpaceDE w:val="0"/>
        <w:autoSpaceDN w:val="0"/>
        <w:adjustRightInd w:val="0"/>
        <w:jc w:val="both"/>
        <w:rPr>
          <w:rFonts w:ascii="Arial" w:hAnsi="Arial" w:cs="Arial"/>
          <w:sz w:val="16"/>
          <w:szCs w:val="16"/>
        </w:rPr>
      </w:pPr>
    </w:p>
    <w:p w14:paraId="388A29FF" w14:textId="77777777" w:rsidR="001A2A76" w:rsidRPr="00CC188B" w:rsidRDefault="001A2A76" w:rsidP="00FD476E">
      <w:pPr>
        <w:tabs>
          <w:tab w:val="right" w:pos="8838"/>
        </w:tabs>
        <w:autoSpaceDE w:val="0"/>
        <w:autoSpaceDN w:val="0"/>
        <w:adjustRightInd w:val="0"/>
        <w:jc w:val="both"/>
        <w:rPr>
          <w:rFonts w:ascii="Arial" w:hAnsi="Arial" w:cs="Arial"/>
          <w:b/>
          <w:bCs/>
          <w:sz w:val="16"/>
          <w:szCs w:val="16"/>
        </w:rPr>
      </w:pPr>
      <w:r w:rsidRPr="00CC188B">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1A2A76" w:rsidRPr="00CC188B" w14:paraId="0018B07B" w14:textId="77777777" w:rsidTr="00D8716B">
        <w:trPr>
          <w:trHeight w:val="1159"/>
        </w:trPr>
        <w:tc>
          <w:tcPr>
            <w:tcW w:w="2943" w:type="dxa"/>
            <w:hideMark/>
          </w:tcPr>
          <w:p w14:paraId="2779EAD6" w14:textId="0DACF617" w:rsidR="001A2A76" w:rsidRPr="00CC188B" w:rsidRDefault="001A2A76" w:rsidP="00FD476E">
            <w:pPr>
              <w:jc w:val="both"/>
              <w:outlineLvl w:val="0"/>
              <w:rPr>
                <w:rFonts w:ascii="Arial" w:hAnsi="Arial" w:cs="Arial"/>
                <w:b/>
                <w:sz w:val="16"/>
                <w:szCs w:val="16"/>
              </w:rPr>
            </w:pPr>
            <w:bookmarkStart w:id="8" w:name="_Hlk90207537"/>
            <w:r w:rsidRPr="00CC188B">
              <w:rPr>
                <w:rFonts w:ascii="Arial" w:hAnsi="Arial" w:cs="Arial"/>
                <w:b/>
                <w:sz w:val="16"/>
                <w:szCs w:val="16"/>
              </w:rPr>
              <w:t>ManpowerGroup</w:t>
            </w:r>
          </w:p>
          <w:p w14:paraId="0B32ED5C" w14:textId="77777777" w:rsidR="001A2A76" w:rsidRPr="00CC188B" w:rsidRDefault="001A2A76" w:rsidP="00FD476E">
            <w:pPr>
              <w:jc w:val="both"/>
              <w:outlineLvl w:val="0"/>
              <w:rPr>
                <w:rFonts w:ascii="Arial" w:hAnsi="Arial" w:cs="Arial"/>
                <w:sz w:val="16"/>
                <w:szCs w:val="16"/>
              </w:rPr>
            </w:pPr>
            <w:r w:rsidRPr="00CC188B">
              <w:rPr>
                <w:rFonts w:ascii="Arial" w:hAnsi="Arial" w:cs="Arial"/>
                <w:sz w:val="16"/>
                <w:szCs w:val="16"/>
              </w:rPr>
              <w:t>Dpto. Comunicación</w:t>
            </w:r>
          </w:p>
          <w:p w14:paraId="3BC89F30" w14:textId="77777777" w:rsidR="001A2A76" w:rsidRPr="00CC188B" w:rsidRDefault="001A2A76" w:rsidP="00FD476E">
            <w:pPr>
              <w:jc w:val="both"/>
              <w:rPr>
                <w:rFonts w:ascii="Arial" w:hAnsi="Arial" w:cs="Arial"/>
                <w:sz w:val="16"/>
                <w:szCs w:val="16"/>
              </w:rPr>
            </w:pPr>
            <w:r w:rsidRPr="00CC188B">
              <w:rPr>
                <w:rFonts w:ascii="Arial" w:hAnsi="Arial" w:cs="Arial"/>
                <w:sz w:val="16"/>
                <w:szCs w:val="16"/>
              </w:rPr>
              <w:t>Juan Gómez Rodríguez</w:t>
            </w:r>
          </w:p>
          <w:p w14:paraId="1A8FDA31" w14:textId="77777777" w:rsidR="001A2A76" w:rsidRPr="00CC188B" w:rsidRDefault="001A2A76" w:rsidP="00FD476E">
            <w:pPr>
              <w:jc w:val="both"/>
              <w:rPr>
                <w:rFonts w:ascii="Arial" w:hAnsi="Arial" w:cs="Arial"/>
                <w:sz w:val="16"/>
                <w:szCs w:val="16"/>
              </w:rPr>
            </w:pPr>
            <w:r w:rsidRPr="00CC188B">
              <w:rPr>
                <w:rFonts w:ascii="Arial" w:hAnsi="Arial" w:cs="Arial"/>
                <w:sz w:val="16"/>
                <w:szCs w:val="16"/>
              </w:rPr>
              <w:t>Tel. 687 51 96 90</w:t>
            </w:r>
          </w:p>
          <w:p w14:paraId="42BF9EDC" w14:textId="74FABF73" w:rsidR="001A2A76" w:rsidRPr="00A73C99" w:rsidRDefault="00655C25" w:rsidP="00FD476E">
            <w:pPr>
              <w:jc w:val="both"/>
              <w:rPr>
                <w:rFonts w:ascii="Arial" w:hAnsi="Arial" w:cs="Arial"/>
                <w:sz w:val="16"/>
                <w:szCs w:val="16"/>
              </w:rPr>
            </w:pPr>
            <w:hyperlink r:id="rId10" w:history="1">
              <w:r w:rsidR="001A2A76" w:rsidRPr="00CC188B">
                <w:rPr>
                  <w:rStyle w:val="Hipervnculo"/>
                  <w:rFonts w:ascii="Arial" w:hAnsi="Arial" w:cs="Arial"/>
                  <w:sz w:val="16"/>
                  <w:szCs w:val="16"/>
                </w:rPr>
                <w:t>juan.gomez@manpowergroup.es</w:t>
              </w:r>
            </w:hyperlink>
          </w:p>
        </w:tc>
        <w:tc>
          <w:tcPr>
            <w:tcW w:w="2977" w:type="dxa"/>
          </w:tcPr>
          <w:p w14:paraId="4C3E35BD" w14:textId="77777777" w:rsidR="001A2A76" w:rsidRPr="00CC188B" w:rsidRDefault="001A2A76" w:rsidP="00FD476E">
            <w:pPr>
              <w:jc w:val="both"/>
              <w:rPr>
                <w:rFonts w:ascii="Arial" w:hAnsi="Arial" w:cs="Arial"/>
                <w:sz w:val="16"/>
                <w:szCs w:val="16"/>
                <w:lang w:val="ca-ES"/>
              </w:rPr>
            </w:pPr>
          </w:p>
        </w:tc>
        <w:tc>
          <w:tcPr>
            <w:tcW w:w="3028" w:type="dxa"/>
          </w:tcPr>
          <w:p w14:paraId="6AA9BA0E" w14:textId="7F997798" w:rsidR="001A2A76" w:rsidRPr="00CC188B" w:rsidRDefault="003509A5" w:rsidP="00FD476E">
            <w:pPr>
              <w:pStyle w:val="NormalWeb"/>
              <w:spacing w:before="0" w:beforeAutospacing="0" w:after="0" w:afterAutospacing="0"/>
              <w:jc w:val="both"/>
              <w:rPr>
                <w:rStyle w:val="Hipervnculo"/>
                <w:rFonts w:ascii="Arial" w:hAnsi="Arial" w:cs="Arial"/>
                <w:color w:val="auto"/>
                <w:sz w:val="16"/>
                <w:szCs w:val="16"/>
                <w:u w:val="none"/>
              </w:rPr>
            </w:pPr>
            <w:r w:rsidRPr="00CC188B">
              <w:rPr>
                <w:rFonts w:ascii="Arial" w:hAnsi="Arial" w:cs="Arial"/>
                <w:color w:val="000000"/>
                <w:sz w:val="16"/>
                <w:szCs w:val="16"/>
                <w:u w:val="single"/>
              </w:rPr>
              <w:t>Agencia de comunicación Indie PR</w:t>
            </w:r>
          </w:p>
          <w:p w14:paraId="49BBC84D" w14:textId="2D704C7A" w:rsidR="003509A5" w:rsidRPr="00CC188B" w:rsidRDefault="00EF7ED2" w:rsidP="00FD476E">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Cristina Villanueva</w:t>
            </w:r>
          </w:p>
          <w:p w14:paraId="43FFFD20" w14:textId="63E76B81" w:rsidR="003509A5" w:rsidRPr="00CC188B" w:rsidRDefault="003509A5" w:rsidP="00FD476E">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 xml:space="preserve">Tel.: </w:t>
            </w:r>
            <w:r w:rsidR="00894DEA" w:rsidRPr="00CC188B">
              <w:rPr>
                <w:rFonts w:ascii="Arial" w:hAnsi="Arial" w:cs="Arial"/>
                <w:color w:val="000000"/>
                <w:sz w:val="16"/>
                <w:szCs w:val="16"/>
              </w:rPr>
              <w:t>687 14 73 60</w:t>
            </w:r>
          </w:p>
          <w:p w14:paraId="0C53A61F" w14:textId="036570DE" w:rsidR="001A2A76" w:rsidRPr="00CC188B" w:rsidRDefault="00655C25" w:rsidP="00FD476E">
            <w:pPr>
              <w:pStyle w:val="NormalWeb"/>
              <w:spacing w:before="0" w:beforeAutospacing="0" w:after="0" w:afterAutospacing="0"/>
              <w:jc w:val="both"/>
              <w:rPr>
                <w:rFonts w:ascii="Arial" w:hAnsi="Arial" w:cs="Arial"/>
                <w:sz w:val="16"/>
                <w:szCs w:val="16"/>
                <w:lang w:val="ca-ES"/>
              </w:rPr>
            </w:pPr>
            <w:hyperlink r:id="rId11" w:history="1">
              <w:r w:rsidR="005B5169" w:rsidRPr="0065198D">
                <w:rPr>
                  <w:rStyle w:val="Hipervnculo"/>
                  <w:rFonts w:ascii="Arial" w:hAnsi="Arial" w:cs="Arial"/>
                  <w:sz w:val="16"/>
                  <w:szCs w:val="16"/>
                </w:rPr>
                <w:t>cristina@indiepr.es</w:t>
              </w:r>
            </w:hyperlink>
          </w:p>
        </w:tc>
      </w:tr>
      <w:bookmarkEnd w:id="0"/>
      <w:bookmarkEnd w:id="1"/>
      <w:bookmarkEnd w:id="8"/>
    </w:tbl>
    <w:p w14:paraId="0F55B214" w14:textId="77777777" w:rsidR="008E54AD" w:rsidRPr="00687087" w:rsidRDefault="008E54AD" w:rsidP="00FD476E">
      <w:pPr>
        <w:tabs>
          <w:tab w:val="right" w:pos="8838"/>
        </w:tabs>
        <w:autoSpaceDE w:val="0"/>
        <w:autoSpaceDN w:val="0"/>
        <w:adjustRightInd w:val="0"/>
        <w:jc w:val="both"/>
        <w:rPr>
          <w:rFonts w:ascii="Arial" w:hAnsi="Arial" w:cs="Arial"/>
          <w:b/>
          <w:bCs/>
          <w:sz w:val="16"/>
          <w:szCs w:val="16"/>
          <w:lang w:val="en-US"/>
        </w:rPr>
      </w:pPr>
    </w:p>
    <w:sectPr w:rsidR="008E54AD" w:rsidRPr="00687087" w:rsidSect="00882FCB">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D6E6" w14:textId="77777777" w:rsidR="00F77C2B" w:rsidRDefault="00F77C2B">
      <w:r>
        <w:separator/>
      </w:r>
    </w:p>
  </w:endnote>
  <w:endnote w:type="continuationSeparator" w:id="0">
    <w:p w14:paraId="46422642" w14:textId="77777777" w:rsidR="00F77C2B" w:rsidRDefault="00F7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D2B85" w14:textId="77777777" w:rsidR="00F77C2B" w:rsidRDefault="00F77C2B">
      <w:r>
        <w:separator/>
      </w:r>
    </w:p>
  </w:footnote>
  <w:footnote w:type="continuationSeparator" w:id="0">
    <w:p w14:paraId="5FDEAC33" w14:textId="77777777" w:rsidR="00F77C2B" w:rsidRDefault="00F77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F64A"/>
    <w:multiLevelType w:val="hybridMultilevel"/>
    <w:tmpl w:val="524CAEC2"/>
    <w:lvl w:ilvl="0" w:tplc="BBEA9B86">
      <w:start w:val="1"/>
      <w:numFmt w:val="bullet"/>
      <w:lvlText w:val="·"/>
      <w:lvlJc w:val="left"/>
      <w:pPr>
        <w:ind w:left="720" w:hanging="360"/>
      </w:pPr>
      <w:rPr>
        <w:rFonts w:ascii="Symbol" w:hAnsi="Symbol" w:hint="default"/>
      </w:rPr>
    </w:lvl>
    <w:lvl w:ilvl="1" w:tplc="F3522336">
      <w:start w:val="1"/>
      <w:numFmt w:val="bullet"/>
      <w:lvlText w:val="o"/>
      <w:lvlJc w:val="left"/>
      <w:pPr>
        <w:ind w:left="1440" w:hanging="360"/>
      </w:pPr>
      <w:rPr>
        <w:rFonts w:ascii="Courier New" w:hAnsi="Courier New" w:cs="Times New Roman" w:hint="default"/>
      </w:rPr>
    </w:lvl>
    <w:lvl w:ilvl="2" w:tplc="1A1AB762">
      <w:start w:val="1"/>
      <w:numFmt w:val="bullet"/>
      <w:lvlText w:val=""/>
      <w:lvlJc w:val="left"/>
      <w:pPr>
        <w:ind w:left="2160" w:hanging="360"/>
      </w:pPr>
      <w:rPr>
        <w:rFonts w:ascii="Wingdings" w:hAnsi="Wingdings" w:hint="default"/>
      </w:rPr>
    </w:lvl>
    <w:lvl w:ilvl="3" w:tplc="DD2A4F50">
      <w:start w:val="1"/>
      <w:numFmt w:val="bullet"/>
      <w:lvlText w:val=""/>
      <w:lvlJc w:val="left"/>
      <w:pPr>
        <w:ind w:left="2880" w:hanging="360"/>
      </w:pPr>
      <w:rPr>
        <w:rFonts w:ascii="Symbol" w:hAnsi="Symbol" w:hint="default"/>
      </w:rPr>
    </w:lvl>
    <w:lvl w:ilvl="4" w:tplc="0FA441C8">
      <w:start w:val="1"/>
      <w:numFmt w:val="bullet"/>
      <w:lvlText w:val="o"/>
      <w:lvlJc w:val="left"/>
      <w:pPr>
        <w:ind w:left="3600" w:hanging="360"/>
      </w:pPr>
      <w:rPr>
        <w:rFonts w:ascii="Courier New" w:hAnsi="Courier New" w:cs="Times New Roman" w:hint="default"/>
      </w:rPr>
    </w:lvl>
    <w:lvl w:ilvl="5" w:tplc="009CBB20">
      <w:start w:val="1"/>
      <w:numFmt w:val="bullet"/>
      <w:lvlText w:val=""/>
      <w:lvlJc w:val="left"/>
      <w:pPr>
        <w:ind w:left="4320" w:hanging="360"/>
      </w:pPr>
      <w:rPr>
        <w:rFonts w:ascii="Wingdings" w:hAnsi="Wingdings" w:hint="default"/>
      </w:rPr>
    </w:lvl>
    <w:lvl w:ilvl="6" w:tplc="722093AC">
      <w:start w:val="1"/>
      <w:numFmt w:val="bullet"/>
      <w:lvlText w:val=""/>
      <w:lvlJc w:val="left"/>
      <w:pPr>
        <w:ind w:left="5040" w:hanging="360"/>
      </w:pPr>
      <w:rPr>
        <w:rFonts w:ascii="Symbol" w:hAnsi="Symbol" w:hint="default"/>
      </w:rPr>
    </w:lvl>
    <w:lvl w:ilvl="7" w:tplc="B8BC9EC2">
      <w:start w:val="1"/>
      <w:numFmt w:val="bullet"/>
      <w:lvlText w:val="o"/>
      <w:lvlJc w:val="left"/>
      <w:pPr>
        <w:ind w:left="5760" w:hanging="360"/>
      </w:pPr>
      <w:rPr>
        <w:rFonts w:ascii="Courier New" w:hAnsi="Courier New" w:cs="Times New Roman" w:hint="default"/>
      </w:rPr>
    </w:lvl>
    <w:lvl w:ilvl="8" w:tplc="204A038A">
      <w:start w:val="1"/>
      <w:numFmt w:val="bullet"/>
      <w:lvlText w:val=""/>
      <w:lvlJc w:val="left"/>
      <w:pPr>
        <w:ind w:left="6480" w:hanging="360"/>
      </w:pPr>
      <w:rPr>
        <w:rFonts w:ascii="Wingdings" w:hAnsi="Wingdings" w:hint="default"/>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F2525C"/>
    <w:multiLevelType w:val="hybridMultilevel"/>
    <w:tmpl w:val="BCCC5156"/>
    <w:lvl w:ilvl="0" w:tplc="CB1C8770">
      <w:start w:val="1"/>
      <w:numFmt w:val="bullet"/>
      <w:lvlText w:val="·"/>
      <w:lvlJc w:val="left"/>
      <w:pPr>
        <w:ind w:left="360" w:hanging="360"/>
      </w:pPr>
      <w:rPr>
        <w:rFonts w:ascii="Symbol" w:hAnsi="Symbol" w:hint="default"/>
      </w:rPr>
    </w:lvl>
    <w:lvl w:ilvl="1" w:tplc="42763A00">
      <w:start w:val="1"/>
      <w:numFmt w:val="bullet"/>
      <w:lvlText w:val="o"/>
      <w:lvlJc w:val="left"/>
      <w:pPr>
        <w:ind w:left="1080" w:hanging="360"/>
      </w:pPr>
      <w:rPr>
        <w:rFonts w:ascii="Courier New" w:hAnsi="Courier New" w:cs="Times New Roman" w:hint="default"/>
      </w:rPr>
    </w:lvl>
    <w:lvl w:ilvl="2" w:tplc="6A3E2308">
      <w:start w:val="1"/>
      <w:numFmt w:val="bullet"/>
      <w:lvlText w:val=""/>
      <w:lvlJc w:val="left"/>
      <w:pPr>
        <w:ind w:left="1800" w:hanging="360"/>
      </w:pPr>
      <w:rPr>
        <w:rFonts w:ascii="Wingdings" w:hAnsi="Wingdings" w:hint="default"/>
      </w:rPr>
    </w:lvl>
    <w:lvl w:ilvl="3" w:tplc="35D207D4">
      <w:start w:val="1"/>
      <w:numFmt w:val="bullet"/>
      <w:lvlText w:val=""/>
      <w:lvlJc w:val="left"/>
      <w:pPr>
        <w:ind w:left="2520" w:hanging="360"/>
      </w:pPr>
      <w:rPr>
        <w:rFonts w:ascii="Symbol" w:hAnsi="Symbol" w:hint="default"/>
      </w:rPr>
    </w:lvl>
    <w:lvl w:ilvl="4" w:tplc="C61A86FA">
      <w:start w:val="1"/>
      <w:numFmt w:val="bullet"/>
      <w:lvlText w:val="o"/>
      <w:lvlJc w:val="left"/>
      <w:pPr>
        <w:ind w:left="3240" w:hanging="360"/>
      </w:pPr>
      <w:rPr>
        <w:rFonts w:ascii="Courier New" w:hAnsi="Courier New" w:cs="Times New Roman" w:hint="default"/>
      </w:rPr>
    </w:lvl>
    <w:lvl w:ilvl="5" w:tplc="C58400FC">
      <w:start w:val="1"/>
      <w:numFmt w:val="bullet"/>
      <w:lvlText w:val=""/>
      <w:lvlJc w:val="left"/>
      <w:pPr>
        <w:ind w:left="3960" w:hanging="360"/>
      </w:pPr>
      <w:rPr>
        <w:rFonts w:ascii="Wingdings" w:hAnsi="Wingdings" w:hint="default"/>
      </w:rPr>
    </w:lvl>
    <w:lvl w:ilvl="6" w:tplc="388A8000">
      <w:start w:val="1"/>
      <w:numFmt w:val="bullet"/>
      <w:lvlText w:val=""/>
      <w:lvlJc w:val="left"/>
      <w:pPr>
        <w:ind w:left="4680" w:hanging="360"/>
      </w:pPr>
      <w:rPr>
        <w:rFonts w:ascii="Symbol" w:hAnsi="Symbol" w:hint="default"/>
      </w:rPr>
    </w:lvl>
    <w:lvl w:ilvl="7" w:tplc="F578AB6E">
      <w:start w:val="1"/>
      <w:numFmt w:val="bullet"/>
      <w:lvlText w:val="o"/>
      <w:lvlJc w:val="left"/>
      <w:pPr>
        <w:ind w:left="5400" w:hanging="360"/>
      </w:pPr>
      <w:rPr>
        <w:rFonts w:ascii="Courier New" w:hAnsi="Courier New" w:cs="Times New Roman" w:hint="default"/>
      </w:rPr>
    </w:lvl>
    <w:lvl w:ilvl="8" w:tplc="3D58B6FC">
      <w:start w:val="1"/>
      <w:numFmt w:val="bullet"/>
      <w:lvlText w:val=""/>
      <w:lvlJc w:val="left"/>
      <w:pPr>
        <w:ind w:left="6120" w:hanging="360"/>
      </w:pPr>
      <w:rPr>
        <w:rFonts w:ascii="Wingdings" w:hAnsi="Wingdings" w:hint="default"/>
      </w:rPr>
    </w:lvl>
  </w:abstractNum>
  <w:abstractNum w:abstractNumId="3" w15:restartNumberingAfterBreak="0">
    <w:nsid w:val="2BE10E15"/>
    <w:multiLevelType w:val="hybridMultilevel"/>
    <w:tmpl w:val="DBD87E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7"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C52C40"/>
    <w:multiLevelType w:val="hybridMultilevel"/>
    <w:tmpl w:val="B218D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6"/>
  </w:num>
  <w:num w:numId="3" w16cid:durableId="305208792">
    <w:abstractNumId w:val="5"/>
  </w:num>
  <w:num w:numId="4" w16cid:durableId="126244196">
    <w:abstractNumId w:val="4"/>
  </w:num>
  <w:num w:numId="5" w16cid:durableId="1245341768">
    <w:abstractNumId w:val="9"/>
  </w:num>
  <w:num w:numId="6" w16cid:durableId="597829097">
    <w:abstractNumId w:val="7"/>
  </w:num>
  <w:num w:numId="7" w16cid:durableId="1088887264">
    <w:abstractNumId w:val="2"/>
  </w:num>
  <w:num w:numId="8" w16cid:durableId="1863401038">
    <w:abstractNumId w:val="0"/>
  </w:num>
  <w:num w:numId="9" w16cid:durableId="1780878420">
    <w:abstractNumId w:val="8"/>
  </w:num>
  <w:num w:numId="10" w16cid:durableId="879394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3516C"/>
    <w:rsid w:val="00042488"/>
    <w:rsid w:val="00063579"/>
    <w:rsid w:val="00066C14"/>
    <w:rsid w:val="000869A2"/>
    <w:rsid w:val="000A1973"/>
    <w:rsid w:val="000C41F9"/>
    <w:rsid w:val="000D2B5A"/>
    <w:rsid w:val="0012170F"/>
    <w:rsid w:val="00124DEA"/>
    <w:rsid w:val="001319E5"/>
    <w:rsid w:val="001324E2"/>
    <w:rsid w:val="001442A6"/>
    <w:rsid w:val="00156E14"/>
    <w:rsid w:val="00171AAA"/>
    <w:rsid w:val="001740C7"/>
    <w:rsid w:val="00181155"/>
    <w:rsid w:val="001A2A76"/>
    <w:rsid w:val="001B34B9"/>
    <w:rsid w:val="001B39AD"/>
    <w:rsid w:val="001F3A45"/>
    <w:rsid w:val="00204E64"/>
    <w:rsid w:val="002059D2"/>
    <w:rsid w:val="00205D68"/>
    <w:rsid w:val="00212129"/>
    <w:rsid w:val="002246BA"/>
    <w:rsid w:val="00231877"/>
    <w:rsid w:val="002331A8"/>
    <w:rsid w:val="0024317A"/>
    <w:rsid w:val="00294475"/>
    <w:rsid w:val="002A3D92"/>
    <w:rsid w:val="002A78A1"/>
    <w:rsid w:val="002B18FB"/>
    <w:rsid w:val="002B3F52"/>
    <w:rsid w:val="002C01E7"/>
    <w:rsid w:val="002C02D9"/>
    <w:rsid w:val="002D032D"/>
    <w:rsid w:val="003019C9"/>
    <w:rsid w:val="0031490C"/>
    <w:rsid w:val="00323633"/>
    <w:rsid w:val="0032424C"/>
    <w:rsid w:val="00326125"/>
    <w:rsid w:val="00332D02"/>
    <w:rsid w:val="00336187"/>
    <w:rsid w:val="00337FD2"/>
    <w:rsid w:val="00344595"/>
    <w:rsid w:val="00346E05"/>
    <w:rsid w:val="003470C8"/>
    <w:rsid w:val="003509A5"/>
    <w:rsid w:val="0036538C"/>
    <w:rsid w:val="00380B8C"/>
    <w:rsid w:val="00383F58"/>
    <w:rsid w:val="00390D3C"/>
    <w:rsid w:val="003A214F"/>
    <w:rsid w:val="003A2B29"/>
    <w:rsid w:val="003A49AD"/>
    <w:rsid w:val="003A6138"/>
    <w:rsid w:val="003B0E06"/>
    <w:rsid w:val="003D0E85"/>
    <w:rsid w:val="003D4F9E"/>
    <w:rsid w:val="003D6B89"/>
    <w:rsid w:val="00401989"/>
    <w:rsid w:val="00407AD8"/>
    <w:rsid w:val="004110BA"/>
    <w:rsid w:val="0041325B"/>
    <w:rsid w:val="0044035B"/>
    <w:rsid w:val="00441AA5"/>
    <w:rsid w:val="004612C2"/>
    <w:rsid w:val="00493CFD"/>
    <w:rsid w:val="004958BB"/>
    <w:rsid w:val="00497689"/>
    <w:rsid w:val="004C0F40"/>
    <w:rsid w:val="004C607E"/>
    <w:rsid w:val="004D1FAF"/>
    <w:rsid w:val="004E23C4"/>
    <w:rsid w:val="004F67EC"/>
    <w:rsid w:val="00510CA3"/>
    <w:rsid w:val="00512001"/>
    <w:rsid w:val="005201CA"/>
    <w:rsid w:val="00522E3F"/>
    <w:rsid w:val="00533536"/>
    <w:rsid w:val="00541A7B"/>
    <w:rsid w:val="00546498"/>
    <w:rsid w:val="00547D42"/>
    <w:rsid w:val="00561B53"/>
    <w:rsid w:val="00576DDF"/>
    <w:rsid w:val="00577B92"/>
    <w:rsid w:val="005A7DB1"/>
    <w:rsid w:val="005A7E9C"/>
    <w:rsid w:val="005B5169"/>
    <w:rsid w:val="005C33ED"/>
    <w:rsid w:val="005C4439"/>
    <w:rsid w:val="005D10BF"/>
    <w:rsid w:val="005D1AE9"/>
    <w:rsid w:val="005D5DC2"/>
    <w:rsid w:val="005E0E99"/>
    <w:rsid w:val="005E4173"/>
    <w:rsid w:val="005F1CEB"/>
    <w:rsid w:val="006213E2"/>
    <w:rsid w:val="0064466A"/>
    <w:rsid w:val="006515B4"/>
    <w:rsid w:val="00652342"/>
    <w:rsid w:val="00655C25"/>
    <w:rsid w:val="00662ABF"/>
    <w:rsid w:val="00663580"/>
    <w:rsid w:val="00687087"/>
    <w:rsid w:val="00694B11"/>
    <w:rsid w:val="006972C0"/>
    <w:rsid w:val="006B6CC7"/>
    <w:rsid w:val="006E6724"/>
    <w:rsid w:val="006E6A20"/>
    <w:rsid w:val="00710280"/>
    <w:rsid w:val="00720F29"/>
    <w:rsid w:val="0072269E"/>
    <w:rsid w:val="00731C5F"/>
    <w:rsid w:val="00750C5B"/>
    <w:rsid w:val="00794A97"/>
    <w:rsid w:val="007A0082"/>
    <w:rsid w:val="007A74B1"/>
    <w:rsid w:val="007B59D1"/>
    <w:rsid w:val="007B679F"/>
    <w:rsid w:val="007E3CDF"/>
    <w:rsid w:val="007F4189"/>
    <w:rsid w:val="00801C70"/>
    <w:rsid w:val="00822154"/>
    <w:rsid w:val="00825CE9"/>
    <w:rsid w:val="00834898"/>
    <w:rsid w:val="00836F8E"/>
    <w:rsid w:val="00841381"/>
    <w:rsid w:val="00853C2E"/>
    <w:rsid w:val="00857C81"/>
    <w:rsid w:val="008764B5"/>
    <w:rsid w:val="00882FCB"/>
    <w:rsid w:val="00885750"/>
    <w:rsid w:val="0089190E"/>
    <w:rsid w:val="00894DEA"/>
    <w:rsid w:val="008A4224"/>
    <w:rsid w:val="008B0BEA"/>
    <w:rsid w:val="008B155B"/>
    <w:rsid w:val="008C0114"/>
    <w:rsid w:val="008C5AB0"/>
    <w:rsid w:val="008C7DC2"/>
    <w:rsid w:val="008D39F2"/>
    <w:rsid w:val="008D44C0"/>
    <w:rsid w:val="008E54AD"/>
    <w:rsid w:val="008E730B"/>
    <w:rsid w:val="008F077C"/>
    <w:rsid w:val="00910200"/>
    <w:rsid w:val="00927308"/>
    <w:rsid w:val="00932CB7"/>
    <w:rsid w:val="009333A0"/>
    <w:rsid w:val="00942998"/>
    <w:rsid w:val="009436E0"/>
    <w:rsid w:val="00955D96"/>
    <w:rsid w:val="0097553E"/>
    <w:rsid w:val="00977BE7"/>
    <w:rsid w:val="00981941"/>
    <w:rsid w:val="009A0E87"/>
    <w:rsid w:val="009A1EB0"/>
    <w:rsid w:val="009A3526"/>
    <w:rsid w:val="009A6F8A"/>
    <w:rsid w:val="009C2675"/>
    <w:rsid w:val="009D3CF7"/>
    <w:rsid w:val="009E6171"/>
    <w:rsid w:val="009F01EA"/>
    <w:rsid w:val="009F1332"/>
    <w:rsid w:val="009F7DB9"/>
    <w:rsid w:val="009F7E1C"/>
    <w:rsid w:val="00A16AE4"/>
    <w:rsid w:val="00A41710"/>
    <w:rsid w:val="00A470A7"/>
    <w:rsid w:val="00A50B4D"/>
    <w:rsid w:val="00A52AAA"/>
    <w:rsid w:val="00A52E71"/>
    <w:rsid w:val="00A56426"/>
    <w:rsid w:val="00A564F8"/>
    <w:rsid w:val="00A574BF"/>
    <w:rsid w:val="00A67C54"/>
    <w:rsid w:val="00A7208B"/>
    <w:rsid w:val="00A73C99"/>
    <w:rsid w:val="00AA5C1C"/>
    <w:rsid w:val="00AB24A2"/>
    <w:rsid w:val="00AF11D7"/>
    <w:rsid w:val="00B03429"/>
    <w:rsid w:val="00B05CD9"/>
    <w:rsid w:val="00B05D48"/>
    <w:rsid w:val="00B116AF"/>
    <w:rsid w:val="00B5158D"/>
    <w:rsid w:val="00B628EE"/>
    <w:rsid w:val="00B8069B"/>
    <w:rsid w:val="00B963D0"/>
    <w:rsid w:val="00BB1160"/>
    <w:rsid w:val="00BB39D9"/>
    <w:rsid w:val="00BC45B7"/>
    <w:rsid w:val="00BC46BE"/>
    <w:rsid w:val="00BD6CC8"/>
    <w:rsid w:val="00BE22AA"/>
    <w:rsid w:val="00BF2547"/>
    <w:rsid w:val="00BF5E11"/>
    <w:rsid w:val="00BF7FDF"/>
    <w:rsid w:val="00C03214"/>
    <w:rsid w:val="00C145C5"/>
    <w:rsid w:val="00C536C9"/>
    <w:rsid w:val="00C61314"/>
    <w:rsid w:val="00C7314E"/>
    <w:rsid w:val="00C83097"/>
    <w:rsid w:val="00C91CCE"/>
    <w:rsid w:val="00C952AF"/>
    <w:rsid w:val="00CA0905"/>
    <w:rsid w:val="00CC188B"/>
    <w:rsid w:val="00CF74FF"/>
    <w:rsid w:val="00D02D48"/>
    <w:rsid w:val="00D04D6F"/>
    <w:rsid w:val="00D21BC9"/>
    <w:rsid w:val="00D26EF3"/>
    <w:rsid w:val="00D27B5C"/>
    <w:rsid w:val="00D3343D"/>
    <w:rsid w:val="00D3571D"/>
    <w:rsid w:val="00D36245"/>
    <w:rsid w:val="00D615A0"/>
    <w:rsid w:val="00D63AB2"/>
    <w:rsid w:val="00D64482"/>
    <w:rsid w:val="00D7641E"/>
    <w:rsid w:val="00D90EF8"/>
    <w:rsid w:val="00D92B75"/>
    <w:rsid w:val="00D96635"/>
    <w:rsid w:val="00DB0F1B"/>
    <w:rsid w:val="00DB45BA"/>
    <w:rsid w:val="00DB5EEF"/>
    <w:rsid w:val="00DC304A"/>
    <w:rsid w:val="00DC6709"/>
    <w:rsid w:val="00DD4924"/>
    <w:rsid w:val="00DF1DDF"/>
    <w:rsid w:val="00DF2519"/>
    <w:rsid w:val="00E10601"/>
    <w:rsid w:val="00E13675"/>
    <w:rsid w:val="00E13BED"/>
    <w:rsid w:val="00E14B59"/>
    <w:rsid w:val="00E151DB"/>
    <w:rsid w:val="00E375F1"/>
    <w:rsid w:val="00E675C5"/>
    <w:rsid w:val="00E8353C"/>
    <w:rsid w:val="00E845CF"/>
    <w:rsid w:val="00E91772"/>
    <w:rsid w:val="00EA5DFA"/>
    <w:rsid w:val="00EA7C7E"/>
    <w:rsid w:val="00ED4D55"/>
    <w:rsid w:val="00ED788C"/>
    <w:rsid w:val="00EF4233"/>
    <w:rsid w:val="00EF7ED2"/>
    <w:rsid w:val="00F00E57"/>
    <w:rsid w:val="00F03D39"/>
    <w:rsid w:val="00F0730E"/>
    <w:rsid w:val="00F17A4D"/>
    <w:rsid w:val="00F24D52"/>
    <w:rsid w:val="00F26D5E"/>
    <w:rsid w:val="00F34988"/>
    <w:rsid w:val="00F3614F"/>
    <w:rsid w:val="00F403AB"/>
    <w:rsid w:val="00F430B3"/>
    <w:rsid w:val="00F45079"/>
    <w:rsid w:val="00F45C5A"/>
    <w:rsid w:val="00F5395E"/>
    <w:rsid w:val="00F72967"/>
    <w:rsid w:val="00F73A73"/>
    <w:rsid w:val="00F77C2B"/>
    <w:rsid w:val="00F93A2E"/>
    <w:rsid w:val="00F95E09"/>
    <w:rsid w:val="00FB1381"/>
    <w:rsid w:val="00FB561C"/>
    <w:rsid w:val="00FC3937"/>
    <w:rsid w:val="00FC7D4B"/>
    <w:rsid w:val="00FD476E"/>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5733">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54029281">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95733626">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53780332">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08338054">
      <w:bodyDiv w:val="1"/>
      <w:marLeft w:val="0"/>
      <w:marRight w:val="0"/>
      <w:marTop w:val="0"/>
      <w:marBottom w:val="0"/>
      <w:divBdr>
        <w:top w:val="none" w:sz="0" w:space="0" w:color="auto"/>
        <w:left w:val="none" w:sz="0" w:space="0" w:color="auto"/>
        <w:bottom w:val="none" w:sz="0" w:space="0" w:color="auto"/>
        <w:right w:val="none" w:sz="0" w:space="0" w:color="auto"/>
      </w:divBdr>
    </w:div>
    <w:div w:id="712388946">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53969521">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86755470">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31746256">
      <w:bodyDiv w:val="1"/>
      <w:marLeft w:val="0"/>
      <w:marRight w:val="0"/>
      <w:marTop w:val="0"/>
      <w:marBottom w:val="0"/>
      <w:divBdr>
        <w:top w:val="none" w:sz="0" w:space="0" w:color="auto"/>
        <w:left w:val="none" w:sz="0" w:space="0" w:color="auto"/>
        <w:bottom w:val="none" w:sz="0" w:space="0" w:color="auto"/>
        <w:right w:val="none" w:sz="0" w:space="0" w:color="auto"/>
      </w:divBdr>
    </w:div>
    <w:div w:id="1717896418">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65249981">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powergroup.es/estudios/the-age-of-adaptability-hacia-un-empleo-moderno-y-sostenibl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an.gomez@manpowergroup.es" TargetMode="External"/><Relationship Id="rId4" Type="http://schemas.openxmlformats.org/officeDocument/2006/relationships/settings" Target="settings.xml"/><Relationship Id="rId9" Type="http://schemas.openxmlformats.org/officeDocument/2006/relationships/hyperlink" Target="http://www.manpowergroup.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5705-41B2-40A1-8F83-45CFC871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1501</Words>
  <Characters>8259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naviles</cp:lastModifiedBy>
  <cp:revision>3</cp:revision>
  <cp:lastPrinted>2024-01-29T16:06:00Z</cp:lastPrinted>
  <dcterms:created xsi:type="dcterms:W3CDTF">2024-02-01T09:17:00Z</dcterms:created>
  <dcterms:modified xsi:type="dcterms:W3CDTF">2024-02-01T09:42:00Z</dcterms:modified>
</cp:coreProperties>
</file>